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18"/>
        </w:rPr>
      </w:pPr>
    </w:p>
    <w:p>
      <w:pPr>
        <w:pStyle w:val="Title"/>
      </w:pPr>
      <w:r>
        <w:rPr/>
        <w:t>Minutes of a Meeting of Ash Parish Council held on Monday 6 March 2023 at 19:00hrs</w:t>
      </w:r>
    </w:p>
    <w:p>
      <w:pPr>
        <w:pStyle w:val="BodyText"/>
        <w:spacing w:before="268"/>
        <w:ind w:left="120" w:right="827"/>
      </w:pPr>
      <w:r>
        <w:rPr>
          <w:b/>
        </w:rPr>
        <w:t>Present</w:t>
      </w:r>
      <w:r>
        <w:rPr/>
        <w:t>: Councillors (Cllrs) – Lesley Andrew, Steve Davey (Chair), Rebecca Gray, Antoinette Groves, Tim Groves, Caz Halfhide.</w:t>
      </w:r>
    </w:p>
    <w:p>
      <w:pPr>
        <w:pStyle w:val="BodyText"/>
      </w:pPr>
    </w:p>
    <w:p>
      <w:pPr>
        <w:pStyle w:val="BodyText"/>
        <w:ind w:left="120"/>
      </w:pPr>
      <w:r>
        <w:rPr>
          <w:b/>
        </w:rPr>
        <w:t>In attendance: </w:t>
      </w:r>
      <w:r>
        <w:rPr/>
        <w:t>J Ferguson (Parish Clerk), County Cllr John Bailey and 0 members of the public.</w:t>
      </w:r>
    </w:p>
    <w:p>
      <w:pPr>
        <w:pStyle w:val="BodyText"/>
        <w:spacing w:before="11"/>
        <w:rPr>
          <w:sz w:val="21"/>
        </w:rPr>
      </w:pPr>
    </w:p>
    <w:p>
      <w:pPr>
        <w:pStyle w:val="Heading1"/>
        <w:spacing w:line="265" w:lineRule="exact" w:before="1"/>
      </w:pPr>
      <w:r>
        <w:rPr/>
        <w:t>County &amp; District Councillors Reports</w:t>
      </w:r>
    </w:p>
    <w:p>
      <w:pPr>
        <w:pStyle w:val="BodyText"/>
        <w:ind w:left="120" w:right="566"/>
      </w:pPr>
      <w:r>
        <w:rPr/>
        <w:t>Cllr Bailey had provided a written report and gave an update on the launch of Somerset Council including a new website and Customer Access Points.</w:t>
      </w:r>
    </w:p>
    <w:p>
      <w:pPr>
        <w:pStyle w:val="BodyText"/>
        <w:spacing w:before="12"/>
        <w:rPr>
          <w:sz w:val="21"/>
        </w:rPr>
      </w:pPr>
    </w:p>
    <w:p>
      <w:pPr>
        <w:pStyle w:val="Heading1"/>
      </w:pPr>
      <w:r>
        <w:rPr/>
        <w:t>Public Open Session</w:t>
      </w:r>
    </w:p>
    <w:p>
      <w:pPr>
        <w:pStyle w:val="BodyText"/>
        <w:spacing w:before="1"/>
        <w:ind w:left="120"/>
      </w:pPr>
      <w:r>
        <w:rPr/>
        <w:t>Cllr Davey thanked everyone who was involved with the tree planting in the Cemetery.</w:t>
      </w:r>
    </w:p>
    <w:p>
      <w:pPr>
        <w:pStyle w:val="BodyText"/>
        <w:spacing w:before="11"/>
        <w:rPr>
          <w:sz w:val="21"/>
        </w:rPr>
      </w:pPr>
    </w:p>
    <w:p>
      <w:pPr>
        <w:pStyle w:val="Heading1"/>
      </w:pPr>
      <w:r>
        <w:rPr/>
        <w:t>19:10 – Meeting opened</w:t>
      </w:r>
    </w:p>
    <w:p>
      <w:pPr>
        <w:pStyle w:val="BodyText"/>
        <w:spacing w:before="1"/>
        <w:rPr>
          <w:b/>
        </w:rPr>
      </w:pPr>
    </w:p>
    <w:p>
      <w:pPr>
        <w:tabs>
          <w:tab w:pos="972" w:val="left" w:leader="none"/>
        </w:tabs>
        <w:spacing w:line="265" w:lineRule="exact" w:before="1"/>
        <w:ind w:left="120" w:right="0" w:firstLine="0"/>
        <w:jc w:val="left"/>
        <w:rPr>
          <w:b/>
          <w:sz w:val="20"/>
        </w:rPr>
      </w:pPr>
      <w:r>
        <w:rPr>
          <w:b/>
          <w:sz w:val="22"/>
        </w:rPr>
        <w:t>23/1</w:t>
        <w:tab/>
        <w:t>To receive apologies for absence and to approve reasons given </w:t>
      </w:r>
      <w:r>
        <w:rPr>
          <w:b/>
          <w:sz w:val="20"/>
        </w:rPr>
        <w:t>(LGA 1972</w:t>
      </w:r>
      <w:r>
        <w:rPr>
          <w:b/>
          <w:spacing w:val="-26"/>
          <w:sz w:val="20"/>
        </w:rPr>
        <w:t> </w:t>
      </w:r>
      <w:r>
        <w:rPr>
          <w:b/>
          <w:sz w:val="20"/>
        </w:rPr>
        <w:t>s85(1))</w:t>
      </w:r>
    </w:p>
    <w:p>
      <w:pPr>
        <w:pStyle w:val="BodyText"/>
        <w:spacing w:line="265" w:lineRule="exact"/>
        <w:ind w:left="120"/>
      </w:pPr>
      <w:r>
        <w:rPr/>
        <w:t>Apologies were received and accepted from Lily Humby as she was unwell.</w:t>
      </w:r>
    </w:p>
    <w:p>
      <w:pPr>
        <w:pStyle w:val="BodyText"/>
        <w:spacing w:before="1"/>
      </w:pPr>
    </w:p>
    <w:p>
      <w:pPr>
        <w:tabs>
          <w:tab w:pos="972" w:val="left" w:leader="none"/>
        </w:tabs>
        <w:spacing w:before="0"/>
        <w:ind w:left="120" w:right="495" w:firstLine="0"/>
        <w:jc w:val="left"/>
        <w:rPr>
          <w:b/>
          <w:sz w:val="20"/>
        </w:rPr>
      </w:pPr>
      <w:r>
        <w:rPr>
          <w:b/>
          <w:sz w:val="22"/>
        </w:rPr>
        <w:t>23/2</w:t>
        <w:tab/>
        <w:t>Declarations of interests. </w:t>
      </w:r>
      <w:r>
        <w:rPr>
          <w:b/>
          <w:sz w:val="20"/>
        </w:rPr>
        <w:t>Council members to declare any interests, including any Disclosable Pecuniary Interests they may have in agenda items that accord with the requirements of the Parish Council’s Code of Conduct and to consider any prior</w:t>
      </w:r>
      <w:r>
        <w:rPr>
          <w:b/>
          <w:spacing w:val="-43"/>
          <w:sz w:val="20"/>
        </w:rPr>
        <w:t> </w:t>
      </w:r>
      <w:r>
        <w:rPr>
          <w:b/>
          <w:sz w:val="20"/>
        </w:rPr>
        <w:t>requests from members for Dispensations that accord with Localism Act 2011 s33 (b-e). (NB this does not preclude any later</w:t>
      </w:r>
      <w:r>
        <w:rPr>
          <w:b/>
          <w:spacing w:val="1"/>
          <w:sz w:val="20"/>
        </w:rPr>
        <w:t> </w:t>
      </w:r>
      <w:r>
        <w:rPr>
          <w:b/>
          <w:sz w:val="20"/>
        </w:rPr>
        <w:t>declarations.</w:t>
      </w:r>
    </w:p>
    <w:p>
      <w:pPr>
        <w:pStyle w:val="BodyText"/>
        <w:spacing w:before="1"/>
        <w:ind w:left="120"/>
      </w:pPr>
      <w:r>
        <w:rPr/>
        <w:t>Cllrs A Groves and T Groves declared an interest in item 23/7 as they had payments due.</w:t>
      </w:r>
    </w:p>
    <w:p>
      <w:pPr>
        <w:pStyle w:val="BodyText"/>
        <w:spacing w:before="11"/>
        <w:rPr>
          <w:sz w:val="21"/>
        </w:rPr>
      </w:pPr>
    </w:p>
    <w:p>
      <w:pPr>
        <w:pStyle w:val="Heading1"/>
        <w:tabs>
          <w:tab w:pos="972" w:val="left" w:leader="none"/>
        </w:tabs>
        <w:spacing w:line="265" w:lineRule="exact"/>
      </w:pPr>
      <w:r>
        <w:rPr/>
        <w:t>23/3</w:t>
        <w:tab/>
        <w:t>To approve and sign as a correct record the minutes of the previous</w:t>
      </w:r>
      <w:r>
        <w:rPr>
          <w:spacing w:val="-18"/>
        </w:rPr>
        <w:t> </w:t>
      </w:r>
      <w:r>
        <w:rPr/>
        <w:t>meeting</w:t>
      </w:r>
    </w:p>
    <w:p>
      <w:pPr>
        <w:spacing w:line="241" w:lineRule="exact" w:before="0"/>
        <w:ind w:left="120" w:right="0" w:firstLine="0"/>
        <w:jc w:val="left"/>
        <w:rPr>
          <w:b/>
          <w:sz w:val="20"/>
        </w:rPr>
      </w:pPr>
      <w:r>
        <w:rPr>
          <w:b/>
          <w:sz w:val="20"/>
        </w:rPr>
        <w:t>(LGA 1972 sch 12, para 41(1)).</w:t>
      </w:r>
    </w:p>
    <w:p>
      <w:pPr>
        <w:pStyle w:val="BodyText"/>
        <w:ind w:left="120" w:right="259"/>
      </w:pPr>
      <w:r>
        <w:rPr>
          <w:b/>
        </w:rPr>
        <w:t>RESOLVED: </w:t>
      </w:r>
      <w:r>
        <w:rPr/>
        <w:t>To approve and sign as a correct record the minutes of the previous meeting held on Monday 6th March 2023.</w:t>
      </w:r>
    </w:p>
    <w:p>
      <w:pPr>
        <w:pStyle w:val="BodyText"/>
      </w:pPr>
    </w:p>
    <w:p>
      <w:pPr>
        <w:pStyle w:val="Heading1"/>
        <w:tabs>
          <w:tab w:pos="972" w:val="left" w:leader="none"/>
        </w:tabs>
        <w:spacing w:before="1"/>
      </w:pPr>
      <w:r>
        <w:rPr/>
        <w:t>23/4</w:t>
        <w:tab/>
        <w:t>Matters to report from a previous</w:t>
      </w:r>
      <w:r>
        <w:rPr>
          <w:spacing w:val="-6"/>
        </w:rPr>
        <w:t> </w:t>
      </w:r>
      <w:r>
        <w:rPr/>
        <w:t>meeting</w:t>
      </w:r>
    </w:p>
    <w:p>
      <w:pPr>
        <w:pStyle w:val="BodyText"/>
        <w:ind w:left="120" w:right="478"/>
      </w:pPr>
      <w:r>
        <w:rPr/>
        <w:t>Cllr Halfhide reported that the £1000 Warm Hub Grant needed to be returned as it had not been required in the parish.</w:t>
      </w:r>
    </w:p>
    <w:p>
      <w:pPr>
        <w:pStyle w:val="BodyText"/>
        <w:ind w:left="120" w:right="253"/>
      </w:pPr>
      <w:r>
        <w:rPr/>
        <w:t>Cllr Davey reported that the play area accessibility gate would be delivered and installed soon and the disabled bays were being painted the following week. He had addressed the inconsiderate milk tanker drivers and was hopeful that things would improve.</w:t>
      </w:r>
    </w:p>
    <w:p>
      <w:pPr>
        <w:pStyle w:val="BodyText"/>
        <w:spacing w:before="1"/>
      </w:pPr>
    </w:p>
    <w:p>
      <w:pPr>
        <w:pStyle w:val="Heading1"/>
        <w:tabs>
          <w:tab w:pos="972" w:val="left" w:leader="none"/>
        </w:tabs>
        <w:spacing w:line="265" w:lineRule="exact"/>
      </w:pPr>
      <w:r>
        <w:rPr/>
        <w:t>23/5</w:t>
        <w:tab/>
        <w:t>Planning decisions</w:t>
      </w:r>
      <w:r>
        <w:rPr>
          <w:spacing w:val="-1"/>
        </w:rPr>
        <w:t> </w:t>
      </w:r>
      <w:r>
        <w:rPr/>
        <w:t>report</w:t>
      </w:r>
    </w:p>
    <w:p>
      <w:pPr>
        <w:pStyle w:val="BodyText"/>
        <w:spacing w:line="265" w:lineRule="exact"/>
        <w:ind w:left="120"/>
      </w:pPr>
      <w:r>
        <w:rPr/>
        <w:t>None.</w:t>
      </w:r>
    </w:p>
    <w:p>
      <w:pPr>
        <w:pStyle w:val="BodyText"/>
        <w:spacing w:before="11"/>
        <w:rPr>
          <w:sz w:val="21"/>
        </w:rPr>
      </w:pPr>
    </w:p>
    <w:p>
      <w:pPr>
        <w:pStyle w:val="Heading1"/>
        <w:tabs>
          <w:tab w:pos="972" w:val="left" w:leader="none"/>
        </w:tabs>
        <w:spacing w:before="1"/>
      </w:pPr>
      <w:r>
        <w:rPr/>
        <w:t>23/6</w:t>
        <w:tab/>
        <w:t>Planning</w:t>
      </w:r>
      <w:r>
        <w:rPr>
          <w:spacing w:val="-1"/>
        </w:rPr>
        <w:t> </w:t>
      </w:r>
      <w:r>
        <w:rPr/>
        <w:t>applications</w:t>
      </w:r>
    </w:p>
    <w:p>
      <w:pPr>
        <w:pStyle w:val="BodyText"/>
        <w:spacing w:before="1"/>
        <w:ind w:left="120"/>
      </w:pPr>
      <w:r>
        <w:rPr/>
        <w:t>None.</w:t>
      </w:r>
    </w:p>
    <w:p>
      <w:pPr>
        <w:pStyle w:val="BodyText"/>
        <w:spacing w:before="11"/>
        <w:rPr>
          <w:sz w:val="21"/>
        </w:rPr>
      </w:pPr>
    </w:p>
    <w:p>
      <w:pPr>
        <w:tabs>
          <w:tab w:pos="972" w:val="left" w:leader="none"/>
        </w:tabs>
        <w:spacing w:before="0"/>
        <w:ind w:left="120" w:right="0" w:firstLine="0"/>
        <w:jc w:val="left"/>
        <w:rPr>
          <w:sz w:val="22"/>
        </w:rPr>
      </w:pPr>
      <w:r>
        <w:rPr>
          <w:b/>
          <w:sz w:val="22"/>
        </w:rPr>
        <w:t>23/7</w:t>
        <w:tab/>
        <w:t>Finance – </w:t>
      </w:r>
      <w:r>
        <w:rPr>
          <w:sz w:val="22"/>
        </w:rPr>
        <w:t>To approve the payment schedule for April</w:t>
      </w:r>
      <w:r>
        <w:rPr>
          <w:spacing w:val="-9"/>
          <w:sz w:val="22"/>
        </w:rPr>
        <w:t> </w:t>
      </w:r>
      <w:r>
        <w:rPr>
          <w:sz w:val="22"/>
        </w:rPr>
        <w:t>2023</w:t>
      </w:r>
    </w:p>
    <w:p>
      <w:pPr>
        <w:spacing w:after="0"/>
        <w:jc w:val="left"/>
        <w:rPr>
          <w:sz w:val="22"/>
        </w:rPr>
        <w:sectPr>
          <w:headerReference w:type="default" r:id="rId5"/>
          <w:footerReference w:type="default" r:id="rId6"/>
          <w:type w:val="continuous"/>
          <w:pgSz w:w="11910" w:h="16840"/>
          <w:pgMar w:header="324" w:footer="758" w:top="1720" w:bottom="940" w:left="960" w:right="960"/>
          <w:pgNumType w:start="1"/>
        </w:sectPr>
      </w:pPr>
    </w:p>
    <w:p>
      <w:pPr>
        <w:pStyle w:val="BodyText"/>
        <w:spacing w:before="7"/>
        <w:rPr>
          <w:sz w:val="25"/>
        </w:rPr>
      </w:pPr>
    </w:p>
    <w:tbl>
      <w:tblPr>
        <w:tblW w:w="0" w:type="auto"/>
        <w:jc w:val="left"/>
        <w:tblInd w:w="135"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CellMar>
          <w:top w:w="0" w:type="dxa"/>
          <w:left w:w="0" w:type="dxa"/>
          <w:bottom w:w="0" w:type="dxa"/>
          <w:right w:w="0" w:type="dxa"/>
        </w:tblCellMar>
        <w:tblLook w:val="01E0"/>
      </w:tblPr>
      <w:tblGrid>
        <w:gridCol w:w="743"/>
        <w:gridCol w:w="3080"/>
        <w:gridCol w:w="4403"/>
        <w:gridCol w:w="1135"/>
      </w:tblGrid>
      <w:tr>
        <w:trPr>
          <w:trHeight w:val="268" w:hRule="atLeast"/>
        </w:trPr>
        <w:tc>
          <w:tcPr>
            <w:tcW w:w="9361" w:type="dxa"/>
            <w:gridSpan w:val="4"/>
          </w:tcPr>
          <w:p>
            <w:pPr>
              <w:pStyle w:val="TableParagraph"/>
              <w:spacing w:line="230" w:lineRule="exact" w:before="18"/>
              <w:ind w:left="2196" w:right="2196"/>
              <w:jc w:val="center"/>
              <w:rPr>
                <w:b/>
                <w:sz w:val="21"/>
              </w:rPr>
            </w:pPr>
            <w:r>
              <w:rPr>
                <w:b/>
                <w:w w:val="105"/>
                <w:sz w:val="21"/>
              </w:rPr>
              <w:t>Ash Parish Council April 23 Payment Schedule</w:t>
            </w:r>
          </w:p>
        </w:tc>
      </w:tr>
      <w:tr>
        <w:trPr>
          <w:trHeight w:val="214" w:hRule="atLeast"/>
        </w:trPr>
        <w:tc>
          <w:tcPr>
            <w:tcW w:w="743" w:type="dxa"/>
          </w:tcPr>
          <w:p>
            <w:pPr>
              <w:pStyle w:val="TableParagraph"/>
              <w:spacing w:line="179" w:lineRule="exact" w:before="15"/>
              <w:ind w:left="37" w:right="35"/>
              <w:jc w:val="center"/>
              <w:rPr>
                <w:b/>
                <w:sz w:val="17"/>
              </w:rPr>
            </w:pPr>
            <w:r>
              <w:rPr>
                <w:b/>
                <w:w w:val="105"/>
                <w:sz w:val="17"/>
              </w:rPr>
              <w:t>Invoice</w:t>
            </w:r>
          </w:p>
        </w:tc>
        <w:tc>
          <w:tcPr>
            <w:tcW w:w="3080" w:type="dxa"/>
          </w:tcPr>
          <w:p>
            <w:pPr>
              <w:pStyle w:val="TableParagraph"/>
              <w:spacing w:line="179" w:lineRule="exact" w:before="15"/>
              <w:ind w:left="32"/>
              <w:rPr>
                <w:b/>
                <w:sz w:val="17"/>
              </w:rPr>
            </w:pPr>
            <w:r>
              <w:rPr>
                <w:b/>
                <w:w w:val="105"/>
                <w:sz w:val="17"/>
              </w:rPr>
              <w:t>Payee</w:t>
            </w:r>
          </w:p>
        </w:tc>
        <w:tc>
          <w:tcPr>
            <w:tcW w:w="4403" w:type="dxa"/>
          </w:tcPr>
          <w:p>
            <w:pPr>
              <w:pStyle w:val="TableParagraph"/>
              <w:spacing w:line="179" w:lineRule="exact" w:before="15"/>
              <w:ind w:left="31"/>
              <w:rPr>
                <w:b/>
                <w:sz w:val="17"/>
              </w:rPr>
            </w:pPr>
            <w:r>
              <w:rPr>
                <w:b/>
                <w:w w:val="105"/>
                <w:sz w:val="17"/>
              </w:rPr>
              <w:t>Particulars</w:t>
            </w:r>
          </w:p>
        </w:tc>
        <w:tc>
          <w:tcPr>
            <w:tcW w:w="1135" w:type="dxa"/>
          </w:tcPr>
          <w:p>
            <w:pPr>
              <w:pStyle w:val="TableParagraph"/>
              <w:spacing w:line="179" w:lineRule="exact" w:before="15"/>
              <w:ind w:left="233"/>
              <w:rPr>
                <w:b/>
                <w:sz w:val="17"/>
              </w:rPr>
            </w:pPr>
            <w:r>
              <w:rPr>
                <w:b/>
                <w:w w:val="105"/>
                <w:sz w:val="17"/>
              </w:rPr>
              <w:t>Amount</w:t>
            </w:r>
          </w:p>
        </w:tc>
      </w:tr>
      <w:tr>
        <w:trPr>
          <w:trHeight w:val="214" w:hRule="atLeast"/>
        </w:trPr>
        <w:tc>
          <w:tcPr>
            <w:tcW w:w="743" w:type="dxa"/>
          </w:tcPr>
          <w:p>
            <w:pPr>
              <w:pStyle w:val="TableParagraph"/>
              <w:spacing w:line="179" w:lineRule="exact" w:before="15"/>
              <w:ind w:left="30"/>
              <w:jc w:val="center"/>
              <w:rPr>
                <w:sz w:val="17"/>
              </w:rPr>
            </w:pPr>
            <w:r>
              <w:rPr>
                <w:w w:val="103"/>
                <w:sz w:val="17"/>
              </w:rPr>
              <w:t>1</w:t>
            </w:r>
          </w:p>
        </w:tc>
        <w:tc>
          <w:tcPr>
            <w:tcW w:w="3080" w:type="dxa"/>
          </w:tcPr>
          <w:p>
            <w:pPr>
              <w:pStyle w:val="TableParagraph"/>
              <w:spacing w:line="179" w:lineRule="exact" w:before="15"/>
              <w:ind w:left="32"/>
              <w:rPr>
                <w:sz w:val="17"/>
              </w:rPr>
            </w:pPr>
            <w:r>
              <w:rPr>
                <w:w w:val="105"/>
                <w:sz w:val="17"/>
              </w:rPr>
              <w:t>STAFF</w:t>
            </w:r>
          </w:p>
        </w:tc>
        <w:tc>
          <w:tcPr>
            <w:tcW w:w="4403" w:type="dxa"/>
          </w:tcPr>
          <w:p>
            <w:pPr>
              <w:pStyle w:val="TableParagraph"/>
              <w:spacing w:line="179" w:lineRule="exact" w:before="15"/>
              <w:ind w:left="31"/>
              <w:rPr>
                <w:sz w:val="17"/>
              </w:rPr>
            </w:pPr>
            <w:r>
              <w:rPr>
                <w:w w:val="105"/>
                <w:sz w:val="17"/>
              </w:rPr>
              <w:t>SALARIES</w:t>
            </w:r>
          </w:p>
        </w:tc>
        <w:tc>
          <w:tcPr>
            <w:tcW w:w="1135" w:type="dxa"/>
          </w:tcPr>
          <w:p>
            <w:pPr>
              <w:pStyle w:val="TableParagraph"/>
              <w:spacing w:line="179" w:lineRule="exact" w:before="15"/>
              <w:ind w:right="18"/>
              <w:jc w:val="right"/>
              <w:rPr>
                <w:sz w:val="17"/>
              </w:rPr>
            </w:pPr>
            <w:r>
              <w:rPr>
                <w:w w:val="105"/>
                <w:sz w:val="17"/>
              </w:rPr>
              <w:t>£1,268.59</w:t>
            </w:r>
          </w:p>
        </w:tc>
      </w:tr>
      <w:tr>
        <w:trPr>
          <w:trHeight w:val="214" w:hRule="atLeast"/>
        </w:trPr>
        <w:tc>
          <w:tcPr>
            <w:tcW w:w="743" w:type="dxa"/>
          </w:tcPr>
          <w:p>
            <w:pPr>
              <w:pStyle w:val="TableParagraph"/>
              <w:spacing w:line="179" w:lineRule="exact" w:before="15"/>
              <w:ind w:left="30"/>
              <w:jc w:val="center"/>
              <w:rPr>
                <w:sz w:val="17"/>
              </w:rPr>
            </w:pPr>
            <w:r>
              <w:rPr>
                <w:w w:val="103"/>
                <w:sz w:val="17"/>
              </w:rPr>
              <w:t>2</w:t>
            </w:r>
          </w:p>
        </w:tc>
        <w:tc>
          <w:tcPr>
            <w:tcW w:w="3080" w:type="dxa"/>
          </w:tcPr>
          <w:p>
            <w:pPr>
              <w:pStyle w:val="TableParagraph"/>
              <w:spacing w:line="179" w:lineRule="exact" w:before="15"/>
              <w:ind w:left="32"/>
              <w:rPr>
                <w:sz w:val="17"/>
              </w:rPr>
            </w:pPr>
            <w:r>
              <w:rPr>
                <w:w w:val="105"/>
                <w:sz w:val="17"/>
              </w:rPr>
              <w:t>A GROVES</w:t>
            </w:r>
          </w:p>
        </w:tc>
        <w:tc>
          <w:tcPr>
            <w:tcW w:w="4403" w:type="dxa"/>
          </w:tcPr>
          <w:p>
            <w:pPr>
              <w:pStyle w:val="TableParagraph"/>
              <w:spacing w:line="179" w:lineRule="exact" w:before="15"/>
              <w:ind w:left="31"/>
              <w:rPr>
                <w:sz w:val="17"/>
              </w:rPr>
            </w:pPr>
            <w:r>
              <w:rPr>
                <w:w w:val="105"/>
                <w:sz w:val="17"/>
              </w:rPr>
              <w:t>EXPENSES AND REIMBURSEMENTS</w:t>
            </w:r>
          </w:p>
        </w:tc>
        <w:tc>
          <w:tcPr>
            <w:tcW w:w="1135" w:type="dxa"/>
          </w:tcPr>
          <w:p>
            <w:pPr>
              <w:pStyle w:val="TableParagraph"/>
              <w:spacing w:line="179" w:lineRule="exact" w:before="15"/>
              <w:ind w:right="17"/>
              <w:jc w:val="right"/>
              <w:rPr>
                <w:sz w:val="17"/>
              </w:rPr>
            </w:pPr>
            <w:r>
              <w:rPr>
                <w:w w:val="105"/>
                <w:sz w:val="17"/>
              </w:rPr>
              <w:t>£50.07</w:t>
            </w:r>
          </w:p>
        </w:tc>
      </w:tr>
      <w:tr>
        <w:trPr>
          <w:trHeight w:val="214" w:hRule="atLeast"/>
        </w:trPr>
        <w:tc>
          <w:tcPr>
            <w:tcW w:w="743" w:type="dxa"/>
          </w:tcPr>
          <w:p>
            <w:pPr>
              <w:pStyle w:val="TableParagraph"/>
              <w:spacing w:line="179" w:lineRule="exact" w:before="15"/>
              <w:ind w:left="30"/>
              <w:jc w:val="center"/>
              <w:rPr>
                <w:sz w:val="17"/>
              </w:rPr>
            </w:pPr>
            <w:r>
              <w:rPr>
                <w:w w:val="103"/>
                <w:sz w:val="17"/>
              </w:rPr>
              <w:t>3</w:t>
            </w:r>
          </w:p>
        </w:tc>
        <w:tc>
          <w:tcPr>
            <w:tcW w:w="3080" w:type="dxa"/>
          </w:tcPr>
          <w:p>
            <w:pPr>
              <w:pStyle w:val="TableParagraph"/>
              <w:spacing w:line="179" w:lineRule="exact" w:before="15"/>
              <w:ind w:left="32"/>
              <w:rPr>
                <w:sz w:val="17"/>
              </w:rPr>
            </w:pPr>
            <w:r>
              <w:rPr>
                <w:w w:val="105"/>
                <w:sz w:val="17"/>
              </w:rPr>
              <w:t>ACE SHELTERS</w:t>
            </w:r>
          </w:p>
        </w:tc>
        <w:tc>
          <w:tcPr>
            <w:tcW w:w="4403" w:type="dxa"/>
          </w:tcPr>
          <w:p>
            <w:pPr>
              <w:pStyle w:val="TableParagraph"/>
              <w:spacing w:line="179" w:lineRule="exact" w:before="15"/>
              <w:ind w:left="31"/>
              <w:rPr>
                <w:sz w:val="17"/>
              </w:rPr>
            </w:pPr>
            <w:r>
              <w:rPr>
                <w:w w:val="105"/>
                <w:sz w:val="17"/>
              </w:rPr>
              <w:t>BUS SHELTER</w:t>
            </w:r>
          </w:p>
        </w:tc>
        <w:tc>
          <w:tcPr>
            <w:tcW w:w="1135" w:type="dxa"/>
          </w:tcPr>
          <w:p>
            <w:pPr>
              <w:pStyle w:val="TableParagraph"/>
              <w:spacing w:line="179" w:lineRule="exact" w:before="15"/>
              <w:ind w:right="18"/>
              <w:jc w:val="right"/>
              <w:rPr>
                <w:sz w:val="17"/>
              </w:rPr>
            </w:pPr>
            <w:r>
              <w:rPr>
                <w:w w:val="105"/>
                <w:sz w:val="17"/>
              </w:rPr>
              <w:t>£7,794.00</w:t>
            </w:r>
          </w:p>
        </w:tc>
      </w:tr>
      <w:tr>
        <w:trPr>
          <w:trHeight w:val="214" w:hRule="atLeast"/>
        </w:trPr>
        <w:tc>
          <w:tcPr>
            <w:tcW w:w="743" w:type="dxa"/>
          </w:tcPr>
          <w:p>
            <w:pPr>
              <w:pStyle w:val="TableParagraph"/>
              <w:spacing w:line="179" w:lineRule="exact" w:before="15"/>
              <w:ind w:left="30"/>
              <w:jc w:val="center"/>
              <w:rPr>
                <w:sz w:val="17"/>
              </w:rPr>
            </w:pPr>
            <w:r>
              <w:rPr>
                <w:w w:val="103"/>
                <w:sz w:val="17"/>
              </w:rPr>
              <w:t>4</w:t>
            </w:r>
          </w:p>
        </w:tc>
        <w:tc>
          <w:tcPr>
            <w:tcW w:w="3080" w:type="dxa"/>
          </w:tcPr>
          <w:p>
            <w:pPr>
              <w:pStyle w:val="TableParagraph"/>
              <w:spacing w:line="179" w:lineRule="exact" w:before="15"/>
              <w:ind w:left="32"/>
              <w:rPr>
                <w:sz w:val="17"/>
              </w:rPr>
            </w:pPr>
            <w:r>
              <w:rPr>
                <w:w w:val="105"/>
                <w:sz w:val="17"/>
              </w:rPr>
              <w:t>T GROVES</w:t>
            </w:r>
          </w:p>
        </w:tc>
        <w:tc>
          <w:tcPr>
            <w:tcW w:w="4403" w:type="dxa"/>
          </w:tcPr>
          <w:p>
            <w:pPr>
              <w:pStyle w:val="TableParagraph"/>
              <w:spacing w:line="179" w:lineRule="exact" w:before="15"/>
              <w:ind w:left="31"/>
              <w:rPr>
                <w:sz w:val="17"/>
              </w:rPr>
            </w:pPr>
            <w:r>
              <w:rPr>
                <w:w w:val="105"/>
                <w:sz w:val="17"/>
              </w:rPr>
              <w:t>REIMBURSE - TURF CUTTER</w:t>
            </w:r>
          </w:p>
        </w:tc>
        <w:tc>
          <w:tcPr>
            <w:tcW w:w="1135" w:type="dxa"/>
          </w:tcPr>
          <w:p>
            <w:pPr>
              <w:pStyle w:val="TableParagraph"/>
              <w:spacing w:line="179" w:lineRule="exact" w:before="15"/>
              <w:ind w:right="17"/>
              <w:jc w:val="right"/>
              <w:rPr>
                <w:sz w:val="17"/>
              </w:rPr>
            </w:pPr>
            <w:r>
              <w:rPr>
                <w:w w:val="105"/>
                <w:sz w:val="17"/>
              </w:rPr>
              <w:t>£129.48</w:t>
            </w:r>
          </w:p>
        </w:tc>
      </w:tr>
      <w:tr>
        <w:trPr>
          <w:trHeight w:val="214" w:hRule="atLeast"/>
        </w:trPr>
        <w:tc>
          <w:tcPr>
            <w:tcW w:w="743" w:type="dxa"/>
          </w:tcPr>
          <w:p>
            <w:pPr>
              <w:pStyle w:val="TableParagraph"/>
              <w:spacing w:line="179" w:lineRule="exact" w:before="15"/>
              <w:ind w:left="30"/>
              <w:jc w:val="center"/>
              <w:rPr>
                <w:sz w:val="17"/>
              </w:rPr>
            </w:pPr>
            <w:r>
              <w:rPr>
                <w:w w:val="103"/>
                <w:sz w:val="17"/>
              </w:rPr>
              <w:t>5</w:t>
            </w:r>
          </w:p>
        </w:tc>
        <w:tc>
          <w:tcPr>
            <w:tcW w:w="3080" w:type="dxa"/>
          </w:tcPr>
          <w:p>
            <w:pPr>
              <w:pStyle w:val="TableParagraph"/>
              <w:spacing w:line="179" w:lineRule="exact" w:before="15"/>
              <w:ind w:left="32"/>
              <w:rPr>
                <w:sz w:val="17"/>
              </w:rPr>
            </w:pPr>
            <w:r>
              <w:rPr>
                <w:w w:val="105"/>
                <w:sz w:val="17"/>
              </w:rPr>
              <w:t>EASY-GATE LIMITED</w:t>
            </w:r>
          </w:p>
        </w:tc>
        <w:tc>
          <w:tcPr>
            <w:tcW w:w="4403" w:type="dxa"/>
          </w:tcPr>
          <w:p>
            <w:pPr>
              <w:pStyle w:val="TableParagraph"/>
              <w:spacing w:line="179" w:lineRule="exact" w:before="15"/>
              <w:ind w:left="31"/>
              <w:rPr>
                <w:sz w:val="17"/>
              </w:rPr>
            </w:pPr>
            <w:r>
              <w:rPr>
                <w:w w:val="105"/>
                <w:sz w:val="17"/>
              </w:rPr>
              <w:t>ACCESSIBILTY GATE</w:t>
            </w:r>
          </w:p>
        </w:tc>
        <w:tc>
          <w:tcPr>
            <w:tcW w:w="1135" w:type="dxa"/>
          </w:tcPr>
          <w:p>
            <w:pPr>
              <w:pStyle w:val="TableParagraph"/>
              <w:spacing w:line="179" w:lineRule="exact" w:before="15"/>
              <w:ind w:right="18"/>
              <w:jc w:val="right"/>
              <w:rPr>
                <w:sz w:val="17"/>
              </w:rPr>
            </w:pPr>
            <w:r>
              <w:rPr>
                <w:w w:val="105"/>
                <w:sz w:val="17"/>
              </w:rPr>
              <w:t>£2,065.20</w:t>
            </w:r>
          </w:p>
        </w:tc>
      </w:tr>
      <w:tr>
        <w:trPr>
          <w:trHeight w:val="214" w:hRule="atLeast"/>
        </w:trPr>
        <w:tc>
          <w:tcPr>
            <w:tcW w:w="743" w:type="dxa"/>
          </w:tcPr>
          <w:p>
            <w:pPr>
              <w:pStyle w:val="TableParagraph"/>
              <w:spacing w:line="240" w:lineRule="auto" w:before="0"/>
              <w:rPr>
                <w:rFonts w:ascii="Times New Roman"/>
                <w:sz w:val="14"/>
              </w:rPr>
            </w:pPr>
          </w:p>
        </w:tc>
        <w:tc>
          <w:tcPr>
            <w:tcW w:w="3080" w:type="dxa"/>
          </w:tcPr>
          <w:p>
            <w:pPr>
              <w:pStyle w:val="TableParagraph"/>
              <w:spacing w:line="179" w:lineRule="exact" w:before="15"/>
              <w:ind w:left="32"/>
              <w:rPr>
                <w:b/>
                <w:sz w:val="17"/>
              </w:rPr>
            </w:pPr>
            <w:r>
              <w:rPr>
                <w:b/>
                <w:w w:val="105"/>
                <w:sz w:val="17"/>
              </w:rPr>
              <w:t>TOTAL</w:t>
            </w:r>
          </w:p>
        </w:tc>
        <w:tc>
          <w:tcPr>
            <w:tcW w:w="4403" w:type="dxa"/>
          </w:tcPr>
          <w:p>
            <w:pPr>
              <w:pStyle w:val="TableParagraph"/>
              <w:spacing w:line="179" w:lineRule="exact" w:before="15"/>
              <w:ind w:right="16"/>
              <w:jc w:val="right"/>
              <w:rPr>
                <w:b/>
                <w:sz w:val="17"/>
              </w:rPr>
            </w:pPr>
            <w:r>
              <w:rPr>
                <w:b/>
                <w:w w:val="105"/>
                <w:sz w:val="17"/>
              </w:rPr>
              <w:t>Apr-23</w:t>
            </w:r>
          </w:p>
        </w:tc>
        <w:tc>
          <w:tcPr>
            <w:tcW w:w="1135" w:type="dxa"/>
          </w:tcPr>
          <w:p>
            <w:pPr>
              <w:pStyle w:val="TableParagraph"/>
              <w:spacing w:line="179" w:lineRule="exact" w:before="15"/>
              <w:ind w:right="18"/>
              <w:jc w:val="right"/>
              <w:rPr>
                <w:b/>
                <w:sz w:val="17"/>
              </w:rPr>
            </w:pPr>
            <w:r>
              <w:rPr>
                <w:b/>
                <w:w w:val="105"/>
                <w:sz w:val="17"/>
              </w:rPr>
              <w:t>£11,307.34</w:t>
            </w:r>
          </w:p>
        </w:tc>
      </w:tr>
    </w:tbl>
    <w:p>
      <w:pPr>
        <w:pStyle w:val="BodyText"/>
        <w:spacing w:before="7"/>
        <w:rPr>
          <w:sz w:val="13"/>
        </w:rPr>
      </w:pPr>
    </w:p>
    <w:p>
      <w:pPr>
        <w:pStyle w:val="BodyText"/>
        <w:spacing w:before="101"/>
        <w:ind w:left="120"/>
      </w:pPr>
      <w:r>
        <w:rPr>
          <w:b/>
        </w:rPr>
        <w:t>RESOLVED: </w:t>
      </w:r>
      <w:r>
        <w:rPr/>
        <w:t>To approve the April 2023 Payments totalling £11,307.34.</w:t>
      </w:r>
    </w:p>
    <w:p>
      <w:pPr>
        <w:pStyle w:val="Heading1"/>
        <w:spacing w:before="1"/>
        <w:ind w:left="6090"/>
      </w:pPr>
      <w:r>
        <w:rPr/>
        <w:t>ACTION: Cllrs Davey and A Groves</w:t>
      </w:r>
    </w:p>
    <w:p>
      <w:pPr>
        <w:pStyle w:val="BodyText"/>
        <w:spacing w:before="11"/>
        <w:rPr>
          <w:b/>
          <w:sz w:val="21"/>
        </w:rPr>
      </w:pPr>
    </w:p>
    <w:p>
      <w:pPr>
        <w:tabs>
          <w:tab w:pos="972" w:val="left" w:leader="none"/>
        </w:tabs>
        <w:spacing w:before="1"/>
        <w:ind w:left="120" w:right="0" w:firstLine="0"/>
        <w:jc w:val="left"/>
        <w:rPr>
          <w:sz w:val="22"/>
        </w:rPr>
      </w:pPr>
      <w:r>
        <w:rPr>
          <w:b/>
          <w:sz w:val="22"/>
        </w:rPr>
        <w:t>23/8</w:t>
        <w:tab/>
        <w:t>Finance – </w:t>
      </w:r>
      <w:r>
        <w:rPr>
          <w:sz w:val="22"/>
        </w:rPr>
        <w:t>To approve the cashbook and bank reconciliation to 31</w:t>
      </w:r>
      <w:r>
        <w:rPr>
          <w:position w:val="8"/>
          <w:sz w:val="14"/>
        </w:rPr>
        <w:t>st </w:t>
      </w:r>
      <w:r>
        <w:rPr>
          <w:sz w:val="22"/>
        </w:rPr>
        <w:t>Mar</w:t>
      </w:r>
      <w:r>
        <w:rPr>
          <w:spacing w:val="-29"/>
          <w:sz w:val="22"/>
        </w:rPr>
        <w:t> </w:t>
      </w:r>
      <w:r>
        <w:rPr>
          <w:sz w:val="22"/>
        </w:rPr>
        <w:t>2023</w:t>
      </w:r>
    </w:p>
    <w:p>
      <w:pPr>
        <w:pStyle w:val="BodyText"/>
        <w:spacing w:before="1"/>
        <w:ind w:left="120"/>
      </w:pPr>
      <w:r>
        <w:rPr>
          <w:b/>
        </w:rPr>
        <w:t>RESOLVED: </w:t>
      </w:r>
      <w:r>
        <w:rPr/>
        <w:t>To approve the cashbook and bank reconciliation to 31</w:t>
      </w:r>
      <w:r>
        <w:rPr>
          <w:position w:val="8"/>
          <w:sz w:val="14"/>
        </w:rPr>
        <w:t>st </w:t>
      </w:r>
      <w:r>
        <w:rPr/>
        <w:t>Mar 2023</w:t>
      </w:r>
    </w:p>
    <w:p>
      <w:pPr>
        <w:pStyle w:val="BodyText"/>
        <w:spacing w:before="11"/>
        <w:rPr>
          <w:sz w:val="21"/>
        </w:rPr>
      </w:pPr>
    </w:p>
    <w:p>
      <w:pPr>
        <w:tabs>
          <w:tab w:pos="972" w:val="left" w:leader="none"/>
        </w:tabs>
        <w:spacing w:before="0"/>
        <w:ind w:left="120" w:right="0" w:firstLine="0"/>
        <w:jc w:val="left"/>
        <w:rPr>
          <w:sz w:val="22"/>
        </w:rPr>
      </w:pPr>
      <w:r>
        <w:rPr>
          <w:b/>
          <w:sz w:val="22"/>
        </w:rPr>
        <w:t>23/9</w:t>
        <w:tab/>
        <w:t>Finance – </w:t>
      </w:r>
      <w:r>
        <w:rPr>
          <w:sz w:val="22"/>
        </w:rPr>
        <w:t>To note the 2023 EOY Budget spend and bank</w:t>
      </w:r>
      <w:r>
        <w:rPr>
          <w:spacing w:val="-7"/>
          <w:sz w:val="22"/>
        </w:rPr>
        <w:t> </w:t>
      </w:r>
      <w:r>
        <w:rPr>
          <w:sz w:val="22"/>
        </w:rPr>
        <w:t>balances</w:t>
      </w:r>
    </w:p>
    <w:tbl>
      <w:tblPr>
        <w:tblW w:w="0" w:type="auto"/>
        <w:jc w:val="left"/>
        <w:tblInd w:w="134" w:type="dxa"/>
        <w:tblBorders>
          <w:top w:val="single" w:sz="6" w:space="0" w:color="94B3D6"/>
          <w:left w:val="single" w:sz="6" w:space="0" w:color="94B3D6"/>
          <w:bottom w:val="single" w:sz="6" w:space="0" w:color="94B3D6"/>
          <w:right w:val="single" w:sz="6" w:space="0" w:color="94B3D6"/>
          <w:insideH w:val="single" w:sz="6" w:space="0" w:color="94B3D6"/>
          <w:insideV w:val="single" w:sz="6" w:space="0" w:color="94B3D6"/>
        </w:tblBorders>
        <w:tblLayout w:type="fixed"/>
        <w:tblCellMar>
          <w:top w:w="0" w:type="dxa"/>
          <w:left w:w="0" w:type="dxa"/>
          <w:bottom w:w="0" w:type="dxa"/>
          <w:right w:w="0" w:type="dxa"/>
        </w:tblCellMar>
        <w:tblLook w:val="01E0"/>
      </w:tblPr>
      <w:tblGrid>
        <w:gridCol w:w="2550"/>
        <w:gridCol w:w="604"/>
        <w:gridCol w:w="221"/>
        <w:gridCol w:w="943"/>
        <w:gridCol w:w="257"/>
        <w:gridCol w:w="903"/>
        <w:gridCol w:w="1083"/>
      </w:tblGrid>
      <w:tr>
        <w:trPr>
          <w:trHeight w:val="442" w:hRule="atLeast"/>
        </w:trPr>
        <w:tc>
          <w:tcPr>
            <w:tcW w:w="2550" w:type="dxa"/>
            <w:tcBorders>
              <w:left w:val="nil"/>
              <w:bottom w:val="nil"/>
              <w:right w:val="nil"/>
            </w:tcBorders>
            <w:shd w:val="clear" w:color="auto" w:fill="B8CCE3"/>
          </w:tcPr>
          <w:p>
            <w:pPr>
              <w:pStyle w:val="TableParagraph"/>
              <w:spacing w:line="240" w:lineRule="auto" w:before="1"/>
              <w:rPr>
                <w:rFonts w:ascii="Tahoma"/>
                <w:sz w:val="19"/>
              </w:rPr>
            </w:pPr>
          </w:p>
          <w:p>
            <w:pPr>
              <w:pStyle w:val="TableParagraph"/>
              <w:spacing w:line="192" w:lineRule="exact" w:before="0"/>
              <w:ind w:left="39"/>
              <w:rPr>
                <w:b/>
                <w:sz w:val="17"/>
              </w:rPr>
            </w:pPr>
            <w:r>
              <w:rPr>
                <w:b/>
                <w:sz w:val="17"/>
              </w:rPr>
              <w:t>RECEIPTS</w:t>
            </w:r>
          </w:p>
        </w:tc>
        <w:tc>
          <w:tcPr>
            <w:tcW w:w="4011" w:type="dxa"/>
            <w:gridSpan w:val="6"/>
            <w:tcBorders>
              <w:left w:val="nil"/>
              <w:bottom w:val="nil"/>
              <w:right w:val="nil"/>
            </w:tcBorders>
            <w:shd w:val="clear" w:color="auto" w:fill="B8CCE3"/>
          </w:tcPr>
          <w:p>
            <w:pPr>
              <w:pStyle w:val="TableParagraph"/>
              <w:tabs>
                <w:tab w:pos="1803" w:val="left" w:leader="none"/>
                <w:tab w:pos="2963" w:val="left" w:leader="none"/>
              </w:tabs>
              <w:spacing w:line="240" w:lineRule="auto"/>
              <w:ind w:left="643"/>
              <w:rPr>
                <w:b/>
                <w:sz w:val="17"/>
              </w:rPr>
            </w:pPr>
            <w:r>
              <w:rPr>
                <w:b/>
                <w:spacing w:val="-3"/>
                <w:sz w:val="17"/>
              </w:rPr>
              <w:t>2022/23</w:t>
              <w:tab/>
            </w:r>
            <w:r>
              <w:rPr>
                <w:b/>
                <w:sz w:val="17"/>
              </w:rPr>
              <w:t>Allocated</w:t>
              <w:tab/>
              <w:t>Budget</w:t>
            </w:r>
          </w:p>
          <w:p>
            <w:pPr>
              <w:pStyle w:val="TableParagraph"/>
              <w:tabs>
                <w:tab w:pos="2963" w:val="left" w:leader="none"/>
              </w:tabs>
              <w:spacing w:line="192" w:lineRule="exact" w:before="26"/>
              <w:ind w:left="1803"/>
              <w:rPr>
                <w:b/>
                <w:sz w:val="17"/>
              </w:rPr>
            </w:pPr>
            <w:r>
              <w:rPr>
                <w:b/>
                <w:sz w:val="17"/>
              </w:rPr>
              <w:t>budget</w:t>
              <w:tab/>
            </w:r>
            <w:r>
              <w:rPr>
                <w:b/>
                <w:spacing w:val="3"/>
                <w:sz w:val="17"/>
              </w:rPr>
              <w:t>remaining</w:t>
            </w:r>
          </w:p>
        </w:tc>
      </w:tr>
      <w:tr>
        <w:trPr>
          <w:trHeight w:val="207" w:hRule="atLeast"/>
        </w:trPr>
        <w:tc>
          <w:tcPr>
            <w:tcW w:w="3154" w:type="dxa"/>
            <w:gridSpan w:val="2"/>
            <w:tcBorders>
              <w:top w:val="nil"/>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Precept</w:t>
            </w:r>
          </w:p>
        </w:tc>
        <w:tc>
          <w:tcPr>
            <w:tcW w:w="1164" w:type="dxa"/>
            <w:gridSpan w:val="2"/>
            <w:tcBorders>
              <w:top w:val="nil"/>
              <w:left w:val="single" w:sz="6" w:space="0" w:color="DFDFDF"/>
              <w:bottom w:val="single" w:sz="6" w:space="0" w:color="DFDFDF"/>
              <w:right w:val="single" w:sz="6" w:space="0" w:color="DFDFDF"/>
            </w:tcBorders>
          </w:tcPr>
          <w:p>
            <w:pPr>
              <w:pStyle w:val="TableParagraph"/>
              <w:spacing w:line="177" w:lineRule="exact"/>
              <w:ind w:left="84"/>
              <w:rPr>
                <w:sz w:val="17"/>
              </w:rPr>
            </w:pPr>
            <w:r>
              <w:rPr>
                <w:sz w:val="17"/>
              </w:rPr>
              <w:t>£ 42,250.00</w:t>
            </w:r>
          </w:p>
        </w:tc>
        <w:tc>
          <w:tcPr>
            <w:tcW w:w="1160" w:type="dxa"/>
            <w:gridSpan w:val="2"/>
            <w:tcBorders>
              <w:top w:val="nil"/>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nil"/>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Deposit Interest</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749" w:val="left" w:leader="none"/>
              </w:tabs>
              <w:ind w:left="84"/>
              <w:rPr>
                <w:sz w:val="17"/>
              </w:rPr>
            </w:pPr>
            <w:r>
              <w:rPr>
                <w:sz w:val="17"/>
              </w:rPr>
              <w:t>£</w:t>
              <w:tab/>
              <w:t>9.20</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Cemetery Fees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spacing w:line="177" w:lineRule="exact"/>
              <w:ind w:left="84"/>
              <w:rPr>
                <w:sz w:val="17"/>
              </w:rPr>
            </w:pPr>
            <w:r>
              <w:rPr>
                <w:sz w:val="17"/>
              </w:rPr>
              <w:t>£</w:t>
              <w:tab/>
              <w:t>1,845.00</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Grants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spacing w:line="177" w:lineRule="exact"/>
              <w:ind w:left="84"/>
              <w:rPr>
                <w:sz w:val="17"/>
              </w:rPr>
            </w:pPr>
            <w:r>
              <w:rPr>
                <w:sz w:val="17"/>
              </w:rPr>
              <w:t>£</w:t>
              <w:tab/>
              <w:t>3,437.50</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Pavilion</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ind w:left="84"/>
              <w:rPr>
                <w:sz w:val="17"/>
              </w:rPr>
            </w:pPr>
            <w:r>
              <w:rPr>
                <w:sz w:val="17"/>
              </w:rPr>
              <w:t>£</w:t>
              <w:tab/>
              <w:t>2,470.00</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VAT repayment</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spacing w:line="177" w:lineRule="exact"/>
              <w:ind w:left="84"/>
              <w:rPr>
                <w:sz w:val="17"/>
              </w:rPr>
            </w:pPr>
            <w:r>
              <w:rPr>
                <w:sz w:val="17"/>
              </w:rPr>
              <w:t>£</w:t>
              <w:tab/>
              <w:t>9,266.03</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Other refunds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657" w:val="left" w:leader="none"/>
              </w:tabs>
              <w:ind w:left="84"/>
              <w:rPr>
                <w:sz w:val="17"/>
              </w:rPr>
            </w:pPr>
            <w:r>
              <w:rPr>
                <w:sz w:val="17"/>
              </w:rPr>
              <w:t>£</w:t>
              <w:tab/>
              <w:t>75.00</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7" w:hRule="atLeast"/>
        </w:trPr>
        <w:tc>
          <w:tcPr>
            <w:tcW w:w="3154" w:type="dxa"/>
            <w:gridSpan w:val="2"/>
            <w:tcBorders>
              <w:top w:val="single" w:sz="6" w:space="0" w:color="DFDFDF"/>
              <w:left w:val="single" w:sz="6" w:space="0" w:color="DFDFDF"/>
              <w:bottom w:val="nil"/>
              <w:right w:val="single" w:sz="6" w:space="0" w:color="DFDFDF"/>
            </w:tcBorders>
          </w:tcPr>
          <w:p>
            <w:pPr>
              <w:pStyle w:val="TableParagraph"/>
              <w:spacing w:line="179" w:lineRule="exact" w:before="8"/>
              <w:ind w:left="31"/>
              <w:rPr>
                <w:sz w:val="17"/>
              </w:rPr>
            </w:pPr>
            <w:r>
              <w:rPr>
                <w:sz w:val="17"/>
              </w:rPr>
              <w:t>Donations</w:t>
            </w:r>
          </w:p>
        </w:tc>
        <w:tc>
          <w:tcPr>
            <w:tcW w:w="1164" w:type="dxa"/>
            <w:gridSpan w:val="2"/>
            <w:tcBorders>
              <w:top w:val="single" w:sz="6" w:space="0" w:color="DFDFDF"/>
              <w:left w:val="single" w:sz="6" w:space="0" w:color="DFDFDF"/>
              <w:bottom w:val="nil"/>
              <w:right w:val="single" w:sz="6" w:space="0" w:color="DFDFDF"/>
            </w:tcBorders>
          </w:tcPr>
          <w:p>
            <w:pPr>
              <w:pStyle w:val="TableParagraph"/>
              <w:tabs>
                <w:tab w:pos="566" w:val="left" w:leader="none"/>
              </w:tabs>
              <w:spacing w:line="179" w:lineRule="exact" w:before="8"/>
              <w:ind w:left="84"/>
              <w:rPr>
                <w:sz w:val="17"/>
              </w:rPr>
            </w:pPr>
            <w:r>
              <w:rPr>
                <w:sz w:val="17"/>
              </w:rPr>
              <w:t>£</w:t>
              <w:tab/>
            </w:r>
            <w:r>
              <w:rPr>
                <w:spacing w:val="-2"/>
                <w:sz w:val="17"/>
              </w:rPr>
              <w:t>500.00</w:t>
            </w:r>
          </w:p>
        </w:tc>
        <w:tc>
          <w:tcPr>
            <w:tcW w:w="1160" w:type="dxa"/>
            <w:gridSpan w:val="2"/>
            <w:tcBorders>
              <w:top w:val="single" w:sz="6" w:space="0" w:color="DFDFDF"/>
              <w:left w:val="single" w:sz="6" w:space="0" w:color="DFDFDF"/>
              <w:bottom w:val="nil"/>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nil"/>
              <w:right w:val="single" w:sz="6" w:space="0" w:color="DFDFDF"/>
            </w:tcBorders>
          </w:tcPr>
          <w:p>
            <w:pPr>
              <w:pStyle w:val="TableParagraph"/>
              <w:spacing w:line="240" w:lineRule="auto" w:before="0"/>
              <w:rPr>
                <w:rFonts w:ascii="Times New Roman"/>
                <w:sz w:val="14"/>
              </w:rPr>
            </w:pPr>
          </w:p>
        </w:tc>
      </w:tr>
      <w:tr>
        <w:trPr>
          <w:trHeight w:val="273" w:hRule="atLeast"/>
        </w:trPr>
        <w:tc>
          <w:tcPr>
            <w:tcW w:w="2550" w:type="dxa"/>
            <w:tcBorders>
              <w:top w:val="nil"/>
              <w:left w:val="nil"/>
              <w:bottom w:val="nil"/>
              <w:right w:val="nil"/>
            </w:tcBorders>
            <w:shd w:val="clear" w:color="auto" w:fill="D9D9D9"/>
          </w:tcPr>
          <w:p>
            <w:pPr>
              <w:pStyle w:val="TableParagraph"/>
              <w:spacing w:line="240" w:lineRule="auto" w:before="49"/>
              <w:ind w:left="39"/>
              <w:rPr>
                <w:b/>
                <w:sz w:val="17"/>
              </w:rPr>
            </w:pPr>
            <w:r>
              <w:rPr>
                <w:b/>
                <w:sz w:val="17"/>
              </w:rPr>
              <w:t>TOTAL RECEIPTS</w:t>
            </w:r>
          </w:p>
        </w:tc>
        <w:tc>
          <w:tcPr>
            <w:tcW w:w="4011" w:type="dxa"/>
            <w:gridSpan w:val="6"/>
            <w:tcBorders>
              <w:top w:val="nil"/>
              <w:left w:val="nil"/>
              <w:bottom w:val="nil"/>
              <w:right w:val="nil"/>
            </w:tcBorders>
            <w:shd w:val="clear" w:color="auto" w:fill="D9D9D9"/>
          </w:tcPr>
          <w:p>
            <w:pPr>
              <w:pStyle w:val="TableParagraph"/>
              <w:spacing w:line="226" w:lineRule="exact" w:before="27"/>
              <w:ind w:left="708"/>
              <w:rPr>
                <w:rFonts w:ascii="Calibri" w:hAnsi="Calibri"/>
                <w:b/>
                <w:sz w:val="19"/>
              </w:rPr>
            </w:pPr>
            <w:r>
              <w:rPr>
                <w:rFonts w:ascii="Calibri" w:hAnsi="Calibri"/>
                <w:b/>
                <w:w w:val="105"/>
                <w:sz w:val="19"/>
              </w:rPr>
              <w:t>£ 59,852.73</w:t>
            </w:r>
          </w:p>
        </w:tc>
      </w:tr>
      <w:tr>
        <w:trPr>
          <w:trHeight w:val="208" w:hRule="atLeast"/>
        </w:trPr>
        <w:tc>
          <w:tcPr>
            <w:tcW w:w="3154" w:type="dxa"/>
            <w:gridSpan w:val="2"/>
            <w:tcBorders>
              <w:top w:val="nil"/>
              <w:left w:val="single" w:sz="6" w:space="0" w:color="DFDFDF"/>
              <w:bottom w:val="nil"/>
              <w:right w:val="single" w:sz="6" w:space="0" w:color="DFDFDF"/>
            </w:tcBorders>
          </w:tcPr>
          <w:p>
            <w:pPr>
              <w:pStyle w:val="TableParagraph"/>
              <w:spacing w:line="240" w:lineRule="auto" w:before="0"/>
              <w:rPr>
                <w:rFonts w:ascii="Times New Roman"/>
                <w:sz w:val="14"/>
              </w:rPr>
            </w:pPr>
          </w:p>
        </w:tc>
        <w:tc>
          <w:tcPr>
            <w:tcW w:w="1164" w:type="dxa"/>
            <w:gridSpan w:val="2"/>
            <w:tcBorders>
              <w:top w:val="nil"/>
              <w:left w:val="single" w:sz="6" w:space="0" w:color="DFDFDF"/>
              <w:bottom w:val="nil"/>
              <w:right w:val="single" w:sz="6" w:space="0" w:color="DFDFDF"/>
            </w:tcBorders>
          </w:tcPr>
          <w:p>
            <w:pPr>
              <w:pStyle w:val="TableParagraph"/>
              <w:spacing w:line="240" w:lineRule="auto" w:before="0"/>
              <w:rPr>
                <w:rFonts w:ascii="Times New Roman"/>
                <w:sz w:val="14"/>
              </w:rPr>
            </w:pPr>
          </w:p>
        </w:tc>
        <w:tc>
          <w:tcPr>
            <w:tcW w:w="1160" w:type="dxa"/>
            <w:gridSpan w:val="2"/>
            <w:tcBorders>
              <w:top w:val="nil"/>
              <w:left w:val="single" w:sz="6" w:space="0" w:color="DFDFDF"/>
              <w:bottom w:val="nil"/>
              <w:right w:val="single" w:sz="6" w:space="0" w:color="DFDFDF"/>
            </w:tcBorders>
          </w:tcPr>
          <w:p>
            <w:pPr>
              <w:pStyle w:val="TableParagraph"/>
              <w:spacing w:line="240" w:lineRule="auto" w:before="0"/>
              <w:rPr>
                <w:rFonts w:ascii="Times New Roman"/>
                <w:sz w:val="14"/>
              </w:rPr>
            </w:pPr>
          </w:p>
        </w:tc>
        <w:tc>
          <w:tcPr>
            <w:tcW w:w="1083" w:type="dxa"/>
            <w:tcBorders>
              <w:top w:val="nil"/>
              <w:left w:val="single" w:sz="6" w:space="0" w:color="DFDFDF"/>
              <w:bottom w:val="nil"/>
              <w:right w:val="single" w:sz="6" w:space="0" w:color="DFDFDF"/>
            </w:tcBorders>
          </w:tcPr>
          <w:p>
            <w:pPr>
              <w:pStyle w:val="TableParagraph"/>
              <w:spacing w:line="240" w:lineRule="auto" w:before="0"/>
              <w:rPr>
                <w:rFonts w:ascii="Times New Roman"/>
                <w:sz w:val="14"/>
              </w:rPr>
            </w:pPr>
          </w:p>
        </w:tc>
      </w:tr>
      <w:tr>
        <w:trPr>
          <w:trHeight w:val="234" w:hRule="atLeast"/>
        </w:trPr>
        <w:tc>
          <w:tcPr>
            <w:tcW w:w="6561" w:type="dxa"/>
            <w:gridSpan w:val="7"/>
            <w:tcBorders>
              <w:top w:val="nil"/>
              <w:left w:val="nil"/>
              <w:bottom w:val="nil"/>
              <w:right w:val="nil"/>
            </w:tcBorders>
            <w:shd w:val="clear" w:color="auto" w:fill="B8CCE3"/>
          </w:tcPr>
          <w:p>
            <w:pPr>
              <w:pStyle w:val="TableParagraph"/>
              <w:spacing w:line="192" w:lineRule="exact" w:before="22"/>
              <w:ind w:left="39"/>
              <w:rPr>
                <w:b/>
                <w:sz w:val="17"/>
              </w:rPr>
            </w:pPr>
            <w:r>
              <w:rPr>
                <w:b/>
                <w:sz w:val="17"/>
              </w:rPr>
              <w:t>PAYMENTS</w:t>
            </w:r>
          </w:p>
        </w:tc>
      </w:tr>
      <w:tr>
        <w:trPr>
          <w:trHeight w:val="207" w:hRule="atLeast"/>
        </w:trPr>
        <w:tc>
          <w:tcPr>
            <w:tcW w:w="3154" w:type="dxa"/>
            <w:gridSpan w:val="2"/>
            <w:tcBorders>
              <w:top w:val="nil"/>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Salaries</w:t>
            </w:r>
          </w:p>
        </w:tc>
        <w:tc>
          <w:tcPr>
            <w:tcW w:w="1164" w:type="dxa"/>
            <w:gridSpan w:val="2"/>
            <w:tcBorders>
              <w:top w:val="nil"/>
              <w:left w:val="single" w:sz="6" w:space="0" w:color="DFDFDF"/>
              <w:bottom w:val="single" w:sz="6" w:space="0" w:color="DFDFDF"/>
              <w:right w:val="single" w:sz="6" w:space="0" w:color="DFDFDF"/>
            </w:tcBorders>
          </w:tcPr>
          <w:p>
            <w:pPr>
              <w:pStyle w:val="TableParagraph"/>
              <w:spacing w:line="177" w:lineRule="exact"/>
              <w:ind w:left="84"/>
              <w:rPr>
                <w:sz w:val="17"/>
              </w:rPr>
            </w:pPr>
            <w:r>
              <w:rPr>
                <w:sz w:val="17"/>
              </w:rPr>
              <w:t>£ 11,472.39</w:t>
            </w:r>
          </w:p>
        </w:tc>
        <w:tc>
          <w:tcPr>
            <w:tcW w:w="257" w:type="dxa"/>
            <w:tcBorders>
              <w:top w:val="nil"/>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nil"/>
              <w:left w:val="nil"/>
              <w:bottom w:val="single" w:sz="6" w:space="0" w:color="DFDFDF"/>
              <w:right w:val="single" w:sz="6" w:space="0" w:color="DFDFDF"/>
            </w:tcBorders>
          </w:tcPr>
          <w:p>
            <w:pPr>
              <w:pStyle w:val="TableParagraph"/>
              <w:spacing w:line="177" w:lineRule="exact"/>
              <w:ind w:right="70"/>
              <w:jc w:val="right"/>
              <w:rPr>
                <w:sz w:val="17"/>
              </w:rPr>
            </w:pPr>
            <w:r>
              <w:rPr>
                <w:sz w:val="17"/>
              </w:rPr>
              <w:t>8,000.00</w:t>
            </w:r>
          </w:p>
        </w:tc>
        <w:tc>
          <w:tcPr>
            <w:tcW w:w="1083" w:type="dxa"/>
            <w:tcBorders>
              <w:top w:val="nil"/>
              <w:left w:val="single" w:sz="6" w:space="0" w:color="DFDFDF"/>
              <w:bottom w:val="single" w:sz="6" w:space="0" w:color="DFDFDF"/>
              <w:right w:val="single" w:sz="6" w:space="0" w:color="DFDFDF"/>
            </w:tcBorders>
          </w:tcPr>
          <w:p>
            <w:pPr>
              <w:pStyle w:val="TableParagraph"/>
              <w:spacing w:line="177" w:lineRule="exact"/>
              <w:ind w:right="71"/>
              <w:jc w:val="right"/>
              <w:rPr>
                <w:sz w:val="17"/>
              </w:rPr>
            </w:pPr>
            <w:r>
              <w:rPr>
                <w:color w:val="FF0000"/>
                <w:sz w:val="17"/>
              </w:rPr>
              <w:t>-£ 3,472.39</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Communications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840" w:val="left" w:leader="none"/>
              </w:tabs>
              <w:ind w:left="84"/>
              <w:rPr>
                <w:sz w:val="17"/>
              </w:rPr>
            </w:pPr>
            <w:r>
              <w:rPr>
                <w:sz w:val="17"/>
              </w:rPr>
              <w:t>£</w:t>
              <w:tab/>
              <w:t>-</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400.00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03" w:val="left" w:leader="none"/>
              </w:tabs>
              <w:ind w:right="71"/>
              <w:jc w:val="right"/>
              <w:rPr>
                <w:sz w:val="17"/>
              </w:rPr>
            </w:pPr>
            <w:r>
              <w:rPr>
                <w:sz w:val="17"/>
              </w:rPr>
              <w:t>£</w:t>
              <w:tab/>
            </w:r>
            <w:r>
              <w:rPr>
                <w:spacing w:val="-2"/>
                <w:sz w:val="17"/>
              </w:rPr>
              <w:t>400.00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Admin Subscriptions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spacing w:line="177" w:lineRule="exact"/>
              <w:ind w:left="84"/>
              <w:rPr>
                <w:sz w:val="17"/>
              </w:rPr>
            </w:pPr>
            <w:r>
              <w:rPr>
                <w:sz w:val="17"/>
              </w:rPr>
              <w:t>£</w:t>
              <w:tab/>
            </w:r>
            <w:r>
              <w:rPr>
                <w:spacing w:val="-2"/>
                <w:sz w:val="17"/>
              </w:rPr>
              <w:t>270.30</w:t>
            </w:r>
          </w:p>
        </w:tc>
        <w:tc>
          <w:tcPr>
            <w:tcW w:w="257" w:type="dxa"/>
            <w:tcBorders>
              <w:top w:val="single" w:sz="6" w:space="0" w:color="DFDFDF"/>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line="177" w:lineRule="exact"/>
              <w:ind w:right="70"/>
              <w:jc w:val="right"/>
              <w:rPr>
                <w:sz w:val="17"/>
              </w:rPr>
            </w:pPr>
            <w:r>
              <w:rPr>
                <w:sz w:val="17"/>
              </w:rPr>
              <w:t>550.00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03" w:val="left" w:leader="none"/>
              </w:tabs>
              <w:spacing w:line="177" w:lineRule="exact"/>
              <w:ind w:right="71"/>
              <w:jc w:val="right"/>
              <w:rPr>
                <w:sz w:val="17"/>
              </w:rPr>
            </w:pPr>
            <w:r>
              <w:rPr>
                <w:sz w:val="17"/>
              </w:rPr>
              <w:t>£</w:t>
              <w:tab/>
            </w:r>
            <w:r>
              <w:rPr>
                <w:spacing w:val="-2"/>
                <w:sz w:val="17"/>
              </w:rPr>
              <w:t>279.70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Admin General</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ind w:left="84"/>
              <w:rPr>
                <w:sz w:val="17"/>
              </w:rPr>
            </w:pPr>
            <w:r>
              <w:rPr>
                <w:sz w:val="17"/>
              </w:rPr>
              <w:t>£</w:t>
              <w:tab/>
              <w:t>1,970.10</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500.00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ind w:right="71"/>
              <w:jc w:val="right"/>
              <w:rPr>
                <w:sz w:val="17"/>
              </w:rPr>
            </w:pPr>
            <w:r>
              <w:rPr>
                <w:color w:val="FF0000"/>
                <w:sz w:val="17"/>
              </w:rPr>
              <w:t>-£ 1,470.10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Environment - Ranger</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ind w:left="84"/>
              <w:rPr>
                <w:sz w:val="17"/>
              </w:rPr>
            </w:pPr>
            <w:r>
              <w:rPr>
                <w:sz w:val="17"/>
              </w:rPr>
              <w:t>£</w:t>
              <w:tab/>
              <w:t>1,721.15</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3,600.00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ind w:right="71"/>
              <w:jc w:val="right"/>
              <w:rPr>
                <w:sz w:val="17"/>
              </w:rPr>
            </w:pPr>
            <w:r>
              <w:rPr>
                <w:sz w:val="17"/>
              </w:rPr>
              <w:t>£ 1,878.85</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Environment - Play area</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spacing w:line="177" w:lineRule="exact"/>
              <w:ind w:left="84"/>
              <w:rPr>
                <w:sz w:val="17"/>
              </w:rPr>
            </w:pPr>
            <w:r>
              <w:rPr>
                <w:sz w:val="17"/>
              </w:rPr>
              <w:t>£</w:t>
              <w:tab/>
            </w:r>
            <w:r>
              <w:rPr>
                <w:spacing w:val="-2"/>
                <w:sz w:val="17"/>
              </w:rPr>
              <w:t>433.33</w:t>
            </w:r>
          </w:p>
        </w:tc>
        <w:tc>
          <w:tcPr>
            <w:tcW w:w="257" w:type="dxa"/>
            <w:tcBorders>
              <w:top w:val="single" w:sz="6" w:space="0" w:color="DFDFDF"/>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line="177" w:lineRule="exact"/>
              <w:ind w:right="70"/>
              <w:jc w:val="right"/>
              <w:rPr>
                <w:sz w:val="17"/>
              </w:rPr>
            </w:pPr>
            <w:r>
              <w:rPr>
                <w:sz w:val="17"/>
              </w:rPr>
              <w:t>700.00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03" w:val="left" w:leader="none"/>
              </w:tabs>
              <w:spacing w:line="177" w:lineRule="exact"/>
              <w:ind w:right="71"/>
              <w:jc w:val="right"/>
              <w:rPr>
                <w:sz w:val="17"/>
              </w:rPr>
            </w:pPr>
            <w:r>
              <w:rPr>
                <w:sz w:val="17"/>
              </w:rPr>
              <w:t>£</w:t>
              <w:tab/>
            </w:r>
            <w:r>
              <w:rPr>
                <w:spacing w:val="-2"/>
                <w:sz w:val="17"/>
              </w:rPr>
              <w:t>266.67</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Environment - Grass cutting &amp; trees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ind w:left="84"/>
              <w:rPr>
                <w:sz w:val="17"/>
              </w:rPr>
            </w:pPr>
            <w:r>
              <w:rPr>
                <w:sz w:val="17"/>
              </w:rPr>
              <w:t>£</w:t>
              <w:tab/>
              <w:t>2,176.90</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5,700.00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ind w:right="71"/>
              <w:jc w:val="right"/>
              <w:rPr>
                <w:sz w:val="17"/>
              </w:rPr>
            </w:pPr>
            <w:r>
              <w:rPr>
                <w:sz w:val="17"/>
              </w:rPr>
              <w:t>£ 3,523.10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before="8"/>
              <w:ind w:left="31"/>
              <w:rPr>
                <w:sz w:val="17"/>
              </w:rPr>
            </w:pPr>
            <w:r>
              <w:rPr>
                <w:sz w:val="17"/>
              </w:rPr>
              <w:t>Environment - Street planting</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spacing w:before="8"/>
              <w:ind w:left="84"/>
              <w:rPr>
                <w:sz w:val="17"/>
              </w:rPr>
            </w:pPr>
            <w:r>
              <w:rPr>
                <w:sz w:val="17"/>
              </w:rPr>
              <w:t>£</w:t>
              <w:tab/>
            </w:r>
            <w:r>
              <w:rPr>
                <w:spacing w:val="-2"/>
                <w:sz w:val="17"/>
              </w:rPr>
              <w:t>608.27</w:t>
            </w:r>
          </w:p>
        </w:tc>
        <w:tc>
          <w:tcPr>
            <w:tcW w:w="257" w:type="dxa"/>
            <w:tcBorders>
              <w:top w:val="single" w:sz="6" w:space="0" w:color="DFDFDF"/>
              <w:left w:val="single" w:sz="6" w:space="0" w:color="DFDFDF"/>
              <w:bottom w:val="single" w:sz="6" w:space="0" w:color="DFDFDF"/>
              <w:right w:val="nil"/>
            </w:tcBorders>
          </w:tcPr>
          <w:p>
            <w:pPr>
              <w:pStyle w:val="TableParagraph"/>
              <w:spacing w:before="8"/>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before="8"/>
              <w:ind w:right="70"/>
              <w:jc w:val="right"/>
              <w:rPr>
                <w:sz w:val="17"/>
              </w:rPr>
            </w:pPr>
            <w:r>
              <w:rPr>
                <w:sz w:val="17"/>
              </w:rPr>
              <w:t>500.00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55" w:val="left" w:leader="none"/>
              </w:tabs>
              <w:spacing w:before="8"/>
              <w:ind w:right="71"/>
              <w:jc w:val="right"/>
              <w:rPr>
                <w:sz w:val="17"/>
              </w:rPr>
            </w:pPr>
            <w:r>
              <w:rPr>
                <w:color w:val="FF0000"/>
                <w:spacing w:val="-3"/>
                <w:sz w:val="17"/>
              </w:rPr>
              <w:t>-£</w:t>
              <w:tab/>
            </w:r>
            <w:r>
              <w:rPr>
                <w:color w:val="FF0000"/>
                <w:spacing w:val="-2"/>
                <w:sz w:val="17"/>
              </w:rPr>
              <w:t>108.27</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Environment - Millennium Wood</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spacing w:line="177" w:lineRule="exact"/>
              <w:ind w:left="84"/>
              <w:rPr>
                <w:sz w:val="17"/>
              </w:rPr>
            </w:pPr>
            <w:r>
              <w:rPr>
                <w:sz w:val="17"/>
              </w:rPr>
              <w:t>£</w:t>
              <w:tab/>
              <w:t>1,375.00</w:t>
            </w:r>
          </w:p>
        </w:tc>
        <w:tc>
          <w:tcPr>
            <w:tcW w:w="257" w:type="dxa"/>
            <w:tcBorders>
              <w:top w:val="single" w:sz="6" w:space="0" w:color="DFDFDF"/>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line="177" w:lineRule="exact"/>
              <w:ind w:right="70"/>
              <w:jc w:val="right"/>
              <w:rPr>
                <w:sz w:val="17"/>
              </w:rPr>
            </w:pPr>
            <w:r>
              <w:rPr>
                <w:sz w:val="17"/>
              </w:rPr>
              <w:t>550.00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55" w:val="left" w:leader="none"/>
              </w:tabs>
              <w:spacing w:line="177" w:lineRule="exact"/>
              <w:ind w:right="71"/>
              <w:jc w:val="right"/>
              <w:rPr>
                <w:sz w:val="17"/>
              </w:rPr>
            </w:pPr>
            <w:r>
              <w:rPr>
                <w:color w:val="FF0000"/>
                <w:spacing w:val="-3"/>
                <w:sz w:val="17"/>
              </w:rPr>
              <w:t>-£</w:t>
              <w:tab/>
            </w:r>
            <w:r>
              <w:rPr>
                <w:color w:val="FF0000"/>
                <w:spacing w:val="-2"/>
                <w:sz w:val="17"/>
              </w:rPr>
              <w:t>825.00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Parish Utilities</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ind w:left="84"/>
              <w:rPr>
                <w:sz w:val="17"/>
              </w:rPr>
            </w:pPr>
            <w:r>
              <w:rPr>
                <w:sz w:val="17"/>
              </w:rPr>
              <w:t>£</w:t>
              <w:tab/>
              <w:t>3,135.66</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2,000.00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ind w:right="71"/>
              <w:jc w:val="right"/>
              <w:rPr>
                <w:sz w:val="17"/>
              </w:rPr>
            </w:pPr>
            <w:r>
              <w:rPr>
                <w:color w:val="FF0000"/>
                <w:sz w:val="17"/>
              </w:rPr>
              <w:t>-£ 1,135.66</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before="8"/>
              <w:ind w:left="31"/>
              <w:rPr>
                <w:sz w:val="17"/>
              </w:rPr>
            </w:pPr>
            <w:r>
              <w:rPr>
                <w:sz w:val="17"/>
              </w:rPr>
              <w:t>Pavilion</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spacing w:before="8"/>
              <w:ind w:left="84"/>
              <w:rPr>
                <w:sz w:val="17"/>
              </w:rPr>
            </w:pPr>
            <w:r>
              <w:rPr>
                <w:sz w:val="17"/>
              </w:rPr>
              <w:t>£</w:t>
              <w:tab/>
            </w:r>
            <w:r>
              <w:rPr>
                <w:spacing w:val="-2"/>
                <w:sz w:val="17"/>
              </w:rPr>
              <w:t>802.16</w:t>
            </w:r>
          </w:p>
        </w:tc>
        <w:tc>
          <w:tcPr>
            <w:tcW w:w="257" w:type="dxa"/>
            <w:tcBorders>
              <w:top w:val="single" w:sz="6" w:space="0" w:color="DFDFDF"/>
              <w:left w:val="single" w:sz="6" w:space="0" w:color="DFDFDF"/>
              <w:bottom w:val="single" w:sz="6" w:space="0" w:color="DFDFDF"/>
              <w:right w:val="nil"/>
            </w:tcBorders>
          </w:tcPr>
          <w:p>
            <w:pPr>
              <w:pStyle w:val="TableParagraph"/>
              <w:spacing w:before="8"/>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before="8"/>
              <w:ind w:right="70"/>
              <w:jc w:val="right"/>
              <w:rPr>
                <w:sz w:val="17"/>
              </w:rPr>
            </w:pPr>
            <w:r>
              <w:rPr>
                <w:sz w:val="17"/>
              </w:rPr>
              <w:t>2,000.00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before="8"/>
              <w:ind w:right="71"/>
              <w:jc w:val="right"/>
              <w:rPr>
                <w:sz w:val="17"/>
              </w:rPr>
            </w:pPr>
            <w:r>
              <w:rPr>
                <w:sz w:val="17"/>
              </w:rPr>
              <w:t>£ 1,197.84</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Pavilion Car Park &amp; Field</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840" w:val="left" w:leader="none"/>
              </w:tabs>
              <w:spacing w:line="177" w:lineRule="exact"/>
              <w:ind w:left="84"/>
              <w:rPr>
                <w:sz w:val="17"/>
              </w:rPr>
            </w:pPr>
            <w:r>
              <w:rPr>
                <w:sz w:val="17"/>
              </w:rPr>
              <w:t>£</w:t>
              <w:tab/>
              <w:t>-</w:t>
            </w:r>
          </w:p>
        </w:tc>
        <w:tc>
          <w:tcPr>
            <w:tcW w:w="257" w:type="dxa"/>
            <w:tcBorders>
              <w:top w:val="single" w:sz="6" w:space="0" w:color="DFDFDF"/>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line="177" w:lineRule="exact"/>
              <w:ind w:right="70"/>
              <w:jc w:val="right"/>
              <w:rPr>
                <w:sz w:val="17"/>
              </w:rPr>
            </w:pPr>
            <w:r>
              <w:rPr>
                <w:sz w:val="17"/>
              </w:rPr>
              <w:t>1,000.00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177" w:lineRule="exact"/>
              <w:ind w:right="71"/>
              <w:jc w:val="right"/>
              <w:rPr>
                <w:sz w:val="17"/>
              </w:rPr>
            </w:pPr>
            <w:r>
              <w:rPr>
                <w:sz w:val="17"/>
              </w:rPr>
              <w:t>£ 1,000.00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Audit</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ind w:left="84"/>
              <w:rPr>
                <w:sz w:val="17"/>
              </w:rPr>
            </w:pPr>
            <w:r>
              <w:rPr>
                <w:sz w:val="17"/>
              </w:rPr>
              <w:t>£</w:t>
              <w:tab/>
            </w:r>
            <w:r>
              <w:rPr>
                <w:spacing w:val="-2"/>
                <w:sz w:val="17"/>
              </w:rPr>
              <w:t>300.00</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500.00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03" w:val="left" w:leader="none"/>
              </w:tabs>
              <w:ind w:right="71"/>
              <w:jc w:val="right"/>
              <w:rPr>
                <w:sz w:val="17"/>
              </w:rPr>
            </w:pPr>
            <w:r>
              <w:rPr>
                <w:sz w:val="17"/>
              </w:rPr>
              <w:t>£</w:t>
              <w:tab/>
            </w:r>
            <w:r>
              <w:rPr>
                <w:spacing w:val="-2"/>
                <w:sz w:val="17"/>
              </w:rPr>
              <w:t>200.00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Insurance</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spacing w:line="177" w:lineRule="exact"/>
              <w:ind w:left="84"/>
              <w:rPr>
                <w:sz w:val="17"/>
              </w:rPr>
            </w:pPr>
            <w:r>
              <w:rPr>
                <w:sz w:val="17"/>
              </w:rPr>
              <w:t>£</w:t>
              <w:tab/>
              <w:t>2,140.87</w:t>
            </w:r>
          </w:p>
        </w:tc>
        <w:tc>
          <w:tcPr>
            <w:tcW w:w="257" w:type="dxa"/>
            <w:tcBorders>
              <w:top w:val="single" w:sz="6" w:space="0" w:color="DFDFDF"/>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line="177" w:lineRule="exact"/>
              <w:ind w:right="70"/>
              <w:jc w:val="right"/>
              <w:rPr>
                <w:sz w:val="17"/>
              </w:rPr>
            </w:pPr>
            <w:r>
              <w:rPr>
                <w:sz w:val="17"/>
              </w:rPr>
              <w:t>1,600.00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55" w:val="left" w:leader="none"/>
              </w:tabs>
              <w:spacing w:line="177" w:lineRule="exact"/>
              <w:ind w:right="71"/>
              <w:jc w:val="right"/>
              <w:rPr>
                <w:sz w:val="17"/>
              </w:rPr>
            </w:pPr>
            <w:r>
              <w:rPr>
                <w:color w:val="FF0000"/>
                <w:spacing w:val="-3"/>
                <w:sz w:val="17"/>
              </w:rPr>
              <w:t>-£</w:t>
              <w:tab/>
            </w:r>
            <w:r>
              <w:rPr>
                <w:color w:val="FF0000"/>
                <w:spacing w:val="-2"/>
                <w:sz w:val="17"/>
              </w:rPr>
              <w:t>540.87</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Defibrillator</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ind w:left="84"/>
              <w:rPr>
                <w:sz w:val="17"/>
              </w:rPr>
            </w:pPr>
            <w:r>
              <w:rPr>
                <w:sz w:val="17"/>
              </w:rPr>
              <w:t>£</w:t>
              <w:tab/>
            </w:r>
            <w:r>
              <w:rPr>
                <w:spacing w:val="-2"/>
                <w:sz w:val="17"/>
              </w:rPr>
              <w:t>184.67</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200.00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95" w:val="left" w:leader="none"/>
              </w:tabs>
              <w:ind w:right="70"/>
              <w:jc w:val="right"/>
              <w:rPr>
                <w:sz w:val="17"/>
              </w:rPr>
            </w:pPr>
            <w:r>
              <w:rPr>
                <w:sz w:val="17"/>
              </w:rPr>
              <w:t>£</w:t>
              <w:tab/>
              <w:t>15.33</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Training</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ind w:left="84"/>
              <w:rPr>
                <w:sz w:val="17"/>
              </w:rPr>
            </w:pPr>
            <w:r>
              <w:rPr>
                <w:sz w:val="17"/>
              </w:rPr>
              <w:t>£</w:t>
              <w:tab/>
            </w:r>
            <w:r>
              <w:rPr>
                <w:spacing w:val="-2"/>
                <w:sz w:val="17"/>
              </w:rPr>
              <w:t>356.66</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200.00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55" w:val="left" w:leader="none"/>
              </w:tabs>
              <w:ind w:right="71"/>
              <w:jc w:val="right"/>
              <w:rPr>
                <w:sz w:val="17"/>
              </w:rPr>
            </w:pPr>
            <w:r>
              <w:rPr>
                <w:color w:val="FF0000"/>
                <w:spacing w:val="-3"/>
                <w:sz w:val="17"/>
              </w:rPr>
              <w:t>-£</w:t>
              <w:tab/>
            </w:r>
            <w:r>
              <w:rPr>
                <w:color w:val="FF0000"/>
                <w:spacing w:val="-2"/>
                <w:sz w:val="17"/>
              </w:rPr>
              <w:t>156.66</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31"/>
              <w:rPr>
                <w:sz w:val="17"/>
              </w:rPr>
            </w:pPr>
            <w:r>
              <w:rPr>
                <w:sz w:val="17"/>
              </w:rPr>
              <w:t>Parish Projects (To reserves at EOY)</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spacing w:line="177" w:lineRule="exact"/>
              <w:ind w:left="84"/>
              <w:rPr>
                <w:sz w:val="17"/>
              </w:rPr>
            </w:pPr>
            <w:r>
              <w:rPr>
                <w:sz w:val="17"/>
              </w:rPr>
              <w:t>£ 33,043.80</w:t>
            </w:r>
          </w:p>
        </w:tc>
        <w:tc>
          <w:tcPr>
            <w:tcW w:w="257" w:type="dxa"/>
            <w:tcBorders>
              <w:top w:val="single" w:sz="6" w:space="0" w:color="DFDFDF"/>
              <w:left w:val="single" w:sz="6" w:space="0" w:color="DFDFDF"/>
              <w:bottom w:val="single" w:sz="6" w:space="0" w:color="DFDFDF"/>
              <w:right w:val="nil"/>
            </w:tcBorders>
          </w:tcPr>
          <w:p>
            <w:pPr>
              <w:pStyle w:val="TableParagraph"/>
              <w:spacing w:line="177" w:lineRule="exact"/>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spacing w:line="177" w:lineRule="exact"/>
              <w:ind w:right="70"/>
              <w:jc w:val="right"/>
              <w:rPr>
                <w:sz w:val="17"/>
              </w:rPr>
            </w:pPr>
            <w:r>
              <w:rPr>
                <w:sz w:val="17"/>
              </w:rPr>
              <w:t>12,750.00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177" w:lineRule="exact"/>
              <w:ind w:right="71"/>
              <w:jc w:val="right"/>
              <w:rPr>
                <w:sz w:val="17"/>
              </w:rPr>
            </w:pPr>
            <w:r>
              <w:rPr>
                <w:color w:val="FF0000"/>
                <w:sz w:val="17"/>
              </w:rPr>
              <w:t>-£ 20,293.80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ind w:left="31"/>
              <w:rPr>
                <w:sz w:val="17"/>
              </w:rPr>
            </w:pPr>
            <w:r>
              <w:rPr>
                <w:sz w:val="17"/>
              </w:rPr>
              <w:t>Grants (S137)</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566" w:val="left" w:leader="none"/>
              </w:tabs>
              <w:ind w:left="84"/>
              <w:rPr>
                <w:sz w:val="17"/>
              </w:rPr>
            </w:pPr>
            <w:r>
              <w:rPr>
                <w:sz w:val="17"/>
              </w:rPr>
              <w:t>£</w:t>
              <w:tab/>
            </w:r>
            <w:r>
              <w:rPr>
                <w:spacing w:val="-2"/>
                <w:sz w:val="17"/>
              </w:rPr>
              <w:t>710.00</w:t>
            </w:r>
          </w:p>
        </w:tc>
        <w:tc>
          <w:tcPr>
            <w:tcW w:w="257" w:type="dxa"/>
            <w:tcBorders>
              <w:top w:val="single" w:sz="6" w:space="0" w:color="DFDFDF"/>
              <w:left w:val="single" w:sz="6" w:space="0" w:color="DFDFDF"/>
              <w:bottom w:val="single" w:sz="6" w:space="0" w:color="DFDFDF"/>
              <w:right w:val="nil"/>
            </w:tcBorders>
          </w:tcPr>
          <w:p>
            <w:pPr>
              <w:pStyle w:val="TableParagraph"/>
              <w:ind w:left="5"/>
              <w:jc w:val="center"/>
              <w:rPr>
                <w:sz w:val="17"/>
              </w:rPr>
            </w:pPr>
            <w:r>
              <w:rPr>
                <w:w w:val="99"/>
                <w:sz w:val="17"/>
              </w:rPr>
              <w:t>£</w:t>
            </w:r>
          </w:p>
        </w:tc>
        <w:tc>
          <w:tcPr>
            <w:tcW w:w="903" w:type="dxa"/>
            <w:tcBorders>
              <w:top w:val="single" w:sz="6" w:space="0" w:color="DFDFDF"/>
              <w:left w:val="nil"/>
              <w:bottom w:val="single" w:sz="6" w:space="0" w:color="DFDFDF"/>
              <w:right w:val="single" w:sz="6" w:space="0" w:color="DFDFDF"/>
            </w:tcBorders>
          </w:tcPr>
          <w:p>
            <w:pPr>
              <w:pStyle w:val="TableParagraph"/>
              <w:ind w:right="70"/>
              <w:jc w:val="right"/>
              <w:rPr>
                <w:sz w:val="17"/>
              </w:rPr>
            </w:pPr>
            <w:r>
              <w:rPr>
                <w:sz w:val="17"/>
              </w:rPr>
              <w:t>500.00</w:t>
            </w:r>
          </w:p>
        </w:tc>
        <w:tc>
          <w:tcPr>
            <w:tcW w:w="1083" w:type="dxa"/>
            <w:tcBorders>
              <w:top w:val="single" w:sz="6" w:space="0" w:color="DFDFDF"/>
              <w:left w:val="single" w:sz="6" w:space="0" w:color="DFDFDF"/>
              <w:bottom w:val="single" w:sz="6" w:space="0" w:color="DFDFDF"/>
              <w:right w:val="single" w:sz="6" w:space="0" w:color="DFDFDF"/>
            </w:tcBorders>
          </w:tcPr>
          <w:p>
            <w:pPr>
              <w:pStyle w:val="TableParagraph"/>
              <w:tabs>
                <w:tab w:pos="455" w:val="left" w:leader="none"/>
              </w:tabs>
              <w:ind w:right="71"/>
              <w:jc w:val="right"/>
              <w:rPr>
                <w:sz w:val="17"/>
              </w:rPr>
            </w:pPr>
            <w:r>
              <w:rPr>
                <w:color w:val="FF0000"/>
                <w:spacing w:val="-3"/>
                <w:sz w:val="17"/>
              </w:rPr>
              <w:t>-£</w:t>
              <w:tab/>
            </w:r>
            <w:r>
              <w:rPr>
                <w:color w:val="FF0000"/>
                <w:spacing w:val="-2"/>
                <w:sz w:val="17"/>
              </w:rPr>
              <w:t>210.00</w:t>
            </w:r>
          </w:p>
        </w:tc>
      </w:tr>
      <w:tr>
        <w:trPr>
          <w:trHeight w:val="206" w:hRule="atLeast"/>
        </w:trPr>
        <w:tc>
          <w:tcPr>
            <w:tcW w:w="3154" w:type="dxa"/>
            <w:gridSpan w:val="2"/>
            <w:tcBorders>
              <w:top w:val="single" w:sz="6" w:space="0" w:color="DFDFDF"/>
              <w:left w:val="single" w:sz="6" w:space="0" w:color="DFDFDF"/>
              <w:bottom w:val="single" w:sz="6" w:space="0" w:color="DFDFDF"/>
              <w:right w:val="single" w:sz="6" w:space="0" w:color="DFDFDF"/>
            </w:tcBorders>
          </w:tcPr>
          <w:p>
            <w:pPr>
              <w:pStyle w:val="TableParagraph"/>
              <w:spacing w:before="8"/>
              <w:ind w:left="31"/>
              <w:rPr>
                <w:sz w:val="17"/>
              </w:rPr>
            </w:pPr>
            <w:r>
              <w:rPr>
                <w:sz w:val="17"/>
              </w:rPr>
              <w:t>Jubilee Event</w:t>
            </w:r>
          </w:p>
        </w:tc>
        <w:tc>
          <w:tcPr>
            <w:tcW w:w="1164" w:type="dxa"/>
            <w:gridSpan w:val="2"/>
            <w:tcBorders>
              <w:top w:val="single" w:sz="6" w:space="0" w:color="DFDFDF"/>
              <w:left w:val="single" w:sz="6" w:space="0" w:color="DFDFDF"/>
              <w:bottom w:val="single" w:sz="6" w:space="0" w:color="DFDFDF"/>
              <w:right w:val="single" w:sz="6" w:space="0" w:color="DFDFDF"/>
            </w:tcBorders>
          </w:tcPr>
          <w:p>
            <w:pPr>
              <w:pStyle w:val="TableParagraph"/>
              <w:tabs>
                <w:tab w:pos="422" w:val="left" w:leader="none"/>
              </w:tabs>
              <w:spacing w:before="8"/>
              <w:ind w:left="84"/>
              <w:rPr>
                <w:sz w:val="17"/>
              </w:rPr>
            </w:pPr>
            <w:r>
              <w:rPr>
                <w:sz w:val="17"/>
              </w:rPr>
              <w:t>£</w:t>
              <w:tab/>
              <w:t>1,452.10</w:t>
            </w:r>
          </w:p>
        </w:tc>
        <w:tc>
          <w:tcPr>
            <w:tcW w:w="1160" w:type="dxa"/>
            <w:gridSpan w:val="2"/>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before="8"/>
              <w:ind w:right="71"/>
              <w:jc w:val="right"/>
              <w:rPr>
                <w:sz w:val="17"/>
              </w:rPr>
            </w:pPr>
            <w:r>
              <w:rPr>
                <w:color w:val="FF0000"/>
                <w:sz w:val="17"/>
              </w:rPr>
              <w:t>-£ 1,452.10</w:t>
            </w:r>
          </w:p>
        </w:tc>
      </w:tr>
      <w:tr>
        <w:trPr>
          <w:trHeight w:val="240" w:hRule="atLeast"/>
        </w:trPr>
        <w:tc>
          <w:tcPr>
            <w:tcW w:w="3154" w:type="dxa"/>
            <w:gridSpan w:val="2"/>
            <w:tcBorders>
              <w:top w:val="single" w:sz="6" w:space="0" w:color="DFDFDF"/>
              <w:left w:val="single" w:sz="6" w:space="0" w:color="DFDFDF"/>
              <w:bottom w:val="nil"/>
              <w:right w:val="single" w:sz="6" w:space="0" w:color="DFDFDF"/>
            </w:tcBorders>
          </w:tcPr>
          <w:p>
            <w:pPr>
              <w:pStyle w:val="TableParagraph"/>
              <w:spacing w:line="240" w:lineRule="auto"/>
              <w:ind w:left="31"/>
              <w:rPr>
                <w:sz w:val="17"/>
              </w:rPr>
            </w:pPr>
            <w:r>
              <w:rPr>
                <w:sz w:val="17"/>
              </w:rPr>
              <w:t>VAT incurred on payments in year</w:t>
            </w:r>
          </w:p>
        </w:tc>
        <w:tc>
          <w:tcPr>
            <w:tcW w:w="1164" w:type="dxa"/>
            <w:gridSpan w:val="2"/>
            <w:tcBorders>
              <w:top w:val="single" w:sz="6" w:space="0" w:color="DFDFDF"/>
              <w:left w:val="single" w:sz="6" w:space="0" w:color="DFDFDF"/>
              <w:bottom w:val="nil"/>
              <w:right w:val="single" w:sz="6" w:space="0" w:color="DFDFDF"/>
            </w:tcBorders>
          </w:tcPr>
          <w:p>
            <w:pPr>
              <w:pStyle w:val="TableParagraph"/>
              <w:tabs>
                <w:tab w:pos="422" w:val="left" w:leader="none"/>
              </w:tabs>
              <w:spacing w:line="240" w:lineRule="auto"/>
              <w:ind w:left="84"/>
              <w:rPr>
                <w:sz w:val="17"/>
              </w:rPr>
            </w:pPr>
            <w:r>
              <w:rPr>
                <w:sz w:val="17"/>
              </w:rPr>
              <w:t>£</w:t>
              <w:tab/>
              <w:t>8,037.03</w:t>
            </w:r>
          </w:p>
        </w:tc>
        <w:tc>
          <w:tcPr>
            <w:tcW w:w="1160" w:type="dxa"/>
            <w:gridSpan w:val="2"/>
            <w:tcBorders>
              <w:top w:val="single" w:sz="6" w:space="0" w:color="DFDFDF"/>
              <w:left w:val="single" w:sz="6" w:space="0" w:color="DFDFDF"/>
              <w:bottom w:val="nil"/>
              <w:right w:val="single" w:sz="6" w:space="0" w:color="DFDFDF"/>
            </w:tcBorders>
          </w:tcPr>
          <w:p>
            <w:pPr>
              <w:pStyle w:val="TableParagraph"/>
              <w:spacing w:line="240" w:lineRule="auto" w:before="0"/>
              <w:rPr>
                <w:rFonts w:ascii="Times New Roman"/>
                <w:sz w:val="16"/>
              </w:rPr>
            </w:pPr>
          </w:p>
        </w:tc>
        <w:tc>
          <w:tcPr>
            <w:tcW w:w="1083" w:type="dxa"/>
            <w:tcBorders>
              <w:top w:val="single" w:sz="6" w:space="0" w:color="DFDFDF"/>
              <w:left w:val="single" w:sz="6" w:space="0" w:color="DFDFDF"/>
              <w:bottom w:val="nil"/>
              <w:right w:val="single" w:sz="6" w:space="0" w:color="DFDFDF"/>
            </w:tcBorders>
          </w:tcPr>
          <w:p>
            <w:pPr>
              <w:pStyle w:val="TableParagraph"/>
              <w:spacing w:line="240" w:lineRule="auto" w:before="0"/>
              <w:rPr>
                <w:rFonts w:ascii="Times New Roman"/>
                <w:sz w:val="16"/>
              </w:rPr>
            </w:pPr>
          </w:p>
        </w:tc>
      </w:tr>
      <w:tr>
        <w:trPr>
          <w:trHeight w:val="241" w:hRule="atLeast"/>
        </w:trPr>
        <w:tc>
          <w:tcPr>
            <w:tcW w:w="2550" w:type="dxa"/>
            <w:tcBorders>
              <w:top w:val="nil"/>
              <w:left w:val="nil"/>
              <w:bottom w:val="nil"/>
              <w:right w:val="nil"/>
            </w:tcBorders>
            <w:shd w:val="clear" w:color="auto" w:fill="D9D9D9"/>
          </w:tcPr>
          <w:p>
            <w:pPr>
              <w:pStyle w:val="TableParagraph"/>
              <w:spacing w:line="240" w:lineRule="auto" w:before="16"/>
              <w:ind w:left="39"/>
              <w:rPr>
                <w:b/>
                <w:sz w:val="17"/>
              </w:rPr>
            </w:pPr>
            <w:r>
              <w:rPr>
                <w:b/>
                <w:sz w:val="17"/>
              </w:rPr>
              <w:t>TOTAL PAYMENTS</w:t>
            </w:r>
          </w:p>
        </w:tc>
        <w:tc>
          <w:tcPr>
            <w:tcW w:w="825" w:type="dxa"/>
            <w:gridSpan w:val="2"/>
            <w:tcBorders>
              <w:top w:val="nil"/>
              <w:left w:val="nil"/>
              <w:bottom w:val="nil"/>
              <w:right w:val="nil"/>
            </w:tcBorders>
            <w:shd w:val="clear" w:color="auto" w:fill="D9D9D9"/>
          </w:tcPr>
          <w:p>
            <w:pPr>
              <w:pStyle w:val="TableParagraph"/>
              <w:spacing w:line="221" w:lineRule="exact" w:before="0"/>
              <w:ind w:right="14"/>
              <w:jc w:val="right"/>
              <w:rPr>
                <w:rFonts w:ascii="Calibri" w:hAnsi="Calibri"/>
                <w:b/>
                <w:sz w:val="19"/>
              </w:rPr>
            </w:pPr>
            <w:r>
              <w:rPr>
                <w:rFonts w:ascii="Calibri" w:hAnsi="Calibri"/>
                <w:b/>
                <w:w w:val="102"/>
                <w:sz w:val="19"/>
              </w:rPr>
              <w:t>£</w:t>
            </w:r>
          </w:p>
        </w:tc>
        <w:tc>
          <w:tcPr>
            <w:tcW w:w="943" w:type="dxa"/>
            <w:tcBorders>
              <w:top w:val="nil"/>
              <w:left w:val="nil"/>
              <w:bottom w:val="nil"/>
              <w:right w:val="nil"/>
            </w:tcBorders>
            <w:shd w:val="clear" w:color="auto" w:fill="D9D9D9"/>
          </w:tcPr>
          <w:p>
            <w:pPr>
              <w:pStyle w:val="TableParagraph"/>
              <w:spacing w:line="221" w:lineRule="exact" w:before="0"/>
              <w:ind w:left="105"/>
              <w:rPr>
                <w:rFonts w:ascii="Calibri"/>
                <w:b/>
                <w:sz w:val="19"/>
              </w:rPr>
            </w:pPr>
            <w:r>
              <w:rPr>
                <w:rFonts w:ascii="Calibri"/>
                <w:b/>
                <w:w w:val="105"/>
                <w:sz w:val="19"/>
              </w:rPr>
              <w:t>70,190.39</w:t>
            </w:r>
          </w:p>
        </w:tc>
        <w:tc>
          <w:tcPr>
            <w:tcW w:w="257" w:type="dxa"/>
            <w:tcBorders>
              <w:top w:val="nil"/>
              <w:left w:val="nil"/>
              <w:bottom w:val="nil"/>
              <w:right w:val="nil"/>
            </w:tcBorders>
            <w:shd w:val="clear" w:color="auto" w:fill="D9D9D9"/>
          </w:tcPr>
          <w:p>
            <w:pPr>
              <w:pStyle w:val="TableParagraph"/>
              <w:spacing w:line="221" w:lineRule="exact" w:before="0"/>
              <w:ind w:left="43"/>
              <w:jc w:val="center"/>
              <w:rPr>
                <w:rFonts w:ascii="Calibri" w:hAnsi="Calibri"/>
                <w:b/>
                <w:sz w:val="19"/>
              </w:rPr>
            </w:pPr>
            <w:r>
              <w:rPr>
                <w:rFonts w:ascii="Calibri" w:hAnsi="Calibri"/>
                <w:b/>
                <w:w w:val="102"/>
                <w:sz w:val="19"/>
              </w:rPr>
              <w:t>£</w:t>
            </w:r>
          </w:p>
        </w:tc>
        <w:tc>
          <w:tcPr>
            <w:tcW w:w="903" w:type="dxa"/>
            <w:tcBorders>
              <w:top w:val="nil"/>
              <w:left w:val="nil"/>
              <w:bottom w:val="nil"/>
              <w:right w:val="nil"/>
            </w:tcBorders>
            <w:shd w:val="clear" w:color="auto" w:fill="D9D9D9"/>
          </w:tcPr>
          <w:p>
            <w:pPr>
              <w:pStyle w:val="TableParagraph"/>
              <w:spacing w:line="221" w:lineRule="exact" w:before="0"/>
              <w:ind w:right="85"/>
              <w:jc w:val="right"/>
              <w:rPr>
                <w:rFonts w:ascii="Calibri"/>
                <w:b/>
                <w:sz w:val="19"/>
              </w:rPr>
            </w:pPr>
            <w:r>
              <w:rPr>
                <w:rFonts w:ascii="Calibri"/>
                <w:b/>
                <w:w w:val="105"/>
                <w:sz w:val="19"/>
              </w:rPr>
              <w:t>41,250.00</w:t>
            </w:r>
          </w:p>
        </w:tc>
        <w:tc>
          <w:tcPr>
            <w:tcW w:w="1083" w:type="dxa"/>
            <w:tcBorders>
              <w:top w:val="nil"/>
              <w:left w:val="nil"/>
              <w:bottom w:val="nil"/>
              <w:right w:val="nil"/>
            </w:tcBorders>
            <w:shd w:val="clear" w:color="auto" w:fill="D9D9D9"/>
          </w:tcPr>
          <w:p>
            <w:pPr>
              <w:pStyle w:val="TableParagraph"/>
              <w:spacing w:line="221" w:lineRule="exact" w:before="0"/>
              <w:ind w:right="86"/>
              <w:jc w:val="right"/>
              <w:rPr>
                <w:rFonts w:ascii="Calibri" w:hAnsi="Calibri"/>
                <w:b/>
                <w:sz w:val="19"/>
              </w:rPr>
            </w:pPr>
            <w:r>
              <w:rPr>
                <w:rFonts w:ascii="Calibri" w:hAnsi="Calibri"/>
                <w:b/>
                <w:spacing w:val="2"/>
                <w:w w:val="105"/>
                <w:sz w:val="19"/>
              </w:rPr>
              <w:t>-£ </w:t>
            </w:r>
            <w:r>
              <w:rPr>
                <w:rFonts w:ascii="Calibri" w:hAnsi="Calibri"/>
                <w:b/>
                <w:spacing w:val="-6"/>
                <w:w w:val="105"/>
                <w:sz w:val="19"/>
              </w:rPr>
              <w:t>28,940.39</w:t>
            </w:r>
          </w:p>
        </w:tc>
      </w:tr>
      <w:tr>
        <w:trPr>
          <w:trHeight w:val="207" w:hRule="atLeast"/>
        </w:trPr>
        <w:tc>
          <w:tcPr>
            <w:tcW w:w="3154" w:type="dxa"/>
            <w:gridSpan w:val="2"/>
            <w:tcBorders>
              <w:top w:val="nil"/>
              <w:left w:val="single" w:sz="6" w:space="0" w:color="DFDFDF"/>
              <w:bottom w:val="single" w:sz="6" w:space="0" w:color="DFDFDF"/>
              <w:right w:val="single" w:sz="6" w:space="0" w:color="DFDFDF"/>
            </w:tcBorders>
          </w:tcPr>
          <w:p>
            <w:pPr>
              <w:pStyle w:val="TableParagraph"/>
              <w:spacing w:before="10"/>
              <w:ind w:left="31"/>
              <w:rPr>
                <w:sz w:val="17"/>
              </w:rPr>
            </w:pPr>
            <w:r>
              <w:rPr>
                <w:sz w:val="17"/>
              </w:rPr>
              <w:t>Excess of Receipts over Payments</w:t>
            </w:r>
          </w:p>
        </w:tc>
        <w:tc>
          <w:tcPr>
            <w:tcW w:w="1164" w:type="dxa"/>
            <w:gridSpan w:val="2"/>
            <w:tcBorders>
              <w:top w:val="nil"/>
              <w:left w:val="single" w:sz="6" w:space="0" w:color="DFDFDF"/>
              <w:bottom w:val="nil"/>
              <w:right w:val="single" w:sz="6" w:space="0" w:color="DFDFDF"/>
            </w:tcBorders>
          </w:tcPr>
          <w:p>
            <w:pPr>
              <w:pStyle w:val="TableParagraph"/>
              <w:spacing w:before="10"/>
              <w:ind w:left="31"/>
              <w:rPr>
                <w:sz w:val="17"/>
              </w:rPr>
            </w:pPr>
            <w:r>
              <w:rPr>
                <w:sz w:val="17"/>
              </w:rPr>
              <w:t>-£ 10,337.66</w:t>
            </w:r>
          </w:p>
        </w:tc>
        <w:tc>
          <w:tcPr>
            <w:tcW w:w="1160" w:type="dxa"/>
            <w:gridSpan w:val="2"/>
            <w:tcBorders>
              <w:top w:val="nil"/>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nil"/>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nil"/>
            </w:tcBorders>
          </w:tcPr>
          <w:p>
            <w:pPr>
              <w:pStyle w:val="TableParagraph"/>
              <w:spacing w:before="8"/>
              <w:ind w:left="31"/>
              <w:rPr>
                <w:sz w:val="17"/>
              </w:rPr>
            </w:pPr>
            <w:r>
              <w:rPr>
                <w:sz w:val="17"/>
              </w:rPr>
              <w:t>plus balances b/fwd</w:t>
            </w:r>
          </w:p>
        </w:tc>
        <w:tc>
          <w:tcPr>
            <w:tcW w:w="1164" w:type="dxa"/>
            <w:gridSpan w:val="2"/>
            <w:tcBorders>
              <w:top w:val="nil"/>
              <w:left w:val="nil"/>
              <w:bottom w:val="nil"/>
              <w:right w:val="nil"/>
            </w:tcBorders>
            <w:shd w:val="clear" w:color="auto" w:fill="E3DFEB"/>
          </w:tcPr>
          <w:p>
            <w:pPr>
              <w:pStyle w:val="TableParagraph"/>
              <w:spacing w:before="8"/>
              <w:ind w:left="91"/>
              <w:rPr>
                <w:sz w:val="17"/>
              </w:rPr>
            </w:pPr>
            <w:r>
              <w:rPr>
                <w:sz w:val="17"/>
              </w:rPr>
              <w:t>£ 102,201.35</w:t>
            </w:r>
          </w:p>
        </w:tc>
        <w:tc>
          <w:tcPr>
            <w:tcW w:w="1160" w:type="dxa"/>
            <w:gridSpan w:val="2"/>
            <w:tcBorders>
              <w:top w:val="single" w:sz="6" w:space="0" w:color="DFDFDF"/>
              <w:left w:val="nil"/>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45" w:hRule="atLeast"/>
        </w:trPr>
        <w:tc>
          <w:tcPr>
            <w:tcW w:w="3154" w:type="dxa"/>
            <w:gridSpan w:val="2"/>
            <w:tcBorders>
              <w:top w:val="single" w:sz="6" w:space="0" w:color="DFDFDF"/>
              <w:left w:val="single" w:sz="6" w:space="0" w:color="DFDFDF"/>
              <w:bottom w:val="nil"/>
              <w:right w:val="nil"/>
            </w:tcBorders>
          </w:tcPr>
          <w:p>
            <w:pPr>
              <w:pStyle w:val="TableParagraph"/>
              <w:spacing w:line="191" w:lineRule="exact" w:before="35"/>
              <w:ind w:left="31"/>
              <w:rPr>
                <w:sz w:val="17"/>
              </w:rPr>
            </w:pPr>
            <w:r>
              <w:rPr>
                <w:sz w:val="17"/>
              </w:rPr>
              <w:t>Balances c/fwd</w:t>
            </w:r>
          </w:p>
        </w:tc>
        <w:tc>
          <w:tcPr>
            <w:tcW w:w="1164" w:type="dxa"/>
            <w:gridSpan w:val="2"/>
            <w:tcBorders>
              <w:top w:val="nil"/>
              <w:left w:val="nil"/>
              <w:bottom w:val="nil"/>
              <w:right w:val="nil"/>
            </w:tcBorders>
            <w:shd w:val="clear" w:color="auto" w:fill="4F81BC"/>
          </w:tcPr>
          <w:p>
            <w:pPr>
              <w:pStyle w:val="TableParagraph"/>
              <w:spacing w:line="212" w:lineRule="exact" w:before="13"/>
              <w:ind w:left="104"/>
              <w:rPr>
                <w:rFonts w:ascii="Calibri" w:hAnsi="Calibri"/>
                <w:sz w:val="19"/>
              </w:rPr>
            </w:pPr>
            <w:r>
              <w:rPr>
                <w:rFonts w:ascii="Calibri" w:hAnsi="Calibri"/>
                <w:color w:val="FFFFFF"/>
                <w:w w:val="105"/>
                <w:sz w:val="19"/>
              </w:rPr>
              <w:t>£ 91,863.69</w:t>
            </w:r>
          </w:p>
        </w:tc>
        <w:tc>
          <w:tcPr>
            <w:tcW w:w="1160" w:type="dxa"/>
            <w:gridSpan w:val="2"/>
            <w:tcBorders>
              <w:top w:val="single" w:sz="6" w:space="0" w:color="DFDFDF"/>
              <w:left w:val="nil"/>
              <w:bottom w:val="single" w:sz="6" w:space="0" w:color="DFDFDF"/>
              <w:right w:val="single" w:sz="6" w:space="0" w:color="DFDFDF"/>
            </w:tcBorders>
          </w:tcPr>
          <w:p>
            <w:pPr>
              <w:pStyle w:val="TableParagraph"/>
              <w:spacing w:line="240" w:lineRule="auto" w:before="0"/>
              <w:rPr>
                <w:rFonts w:ascii="Times New Roman"/>
                <w:sz w:val="16"/>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6"/>
              </w:rPr>
            </w:pPr>
          </w:p>
        </w:tc>
      </w:tr>
      <w:tr>
        <w:trPr>
          <w:trHeight w:val="206" w:hRule="atLeast"/>
        </w:trPr>
        <w:tc>
          <w:tcPr>
            <w:tcW w:w="4318" w:type="dxa"/>
            <w:gridSpan w:val="4"/>
            <w:tcBorders>
              <w:top w:val="nil"/>
              <w:left w:val="nil"/>
              <w:bottom w:val="nil"/>
              <w:right w:val="nil"/>
            </w:tcBorders>
          </w:tcPr>
          <w:p>
            <w:pPr>
              <w:pStyle w:val="TableParagraph"/>
              <w:ind w:left="13"/>
              <w:rPr>
                <w:b/>
                <w:sz w:val="17"/>
              </w:rPr>
            </w:pPr>
            <w:r>
              <w:rPr>
                <w:b/>
                <w:w w:val="99"/>
                <w:sz w:val="17"/>
                <w:shd w:fill="F1DCDB" w:color="auto" w:val="clear"/>
              </w:rPr>
              <w:t> </w:t>
            </w:r>
            <w:r>
              <w:rPr>
                <w:b/>
                <w:sz w:val="17"/>
                <w:shd w:fill="F1DCDB" w:color="auto" w:val="clear"/>
              </w:rPr>
              <w:t>Reconciliation with bank accounts - 31st March 2023</w:t>
            </w:r>
          </w:p>
        </w:tc>
        <w:tc>
          <w:tcPr>
            <w:tcW w:w="1160" w:type="dxa"/>
            <w:gridSpan w:val="2"/>
            <w:tcBorders>
              <w:top w:val="single" w:sz="6" w:space="0" w:color="DFDFDF"/>
              <w:left w:val="nil"/>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2550" w:type="dxa"/>
            <w:tcBorders>
              <w:top w:val="nil"/>
              <w:left w:val="single" w:sz="6" w:space="0" w:color="DFDFDF"/>
              <w:bottom w:val="single" w:sz="6" w:space="0" w:color="DFDFDF"/>
              <w:right w:val="nil"/>
            </w:tcBorders>
          </w:tcPr>
          <w:p>
            <w:pPr>
              <w:pStyle w:val="TableParagraph"/>
              <w:ind w:left="31"/>
              <w:rPr>
                <w:sz w:val="17"/>
              </w:rPr>
            </w:pPr>
            <w:r>
              <w:rPr>
                <w:sz w:val="17"/>
              </w:rPr>
              <w:t>Lloyds Business Account</w:t>
            </w:r>
          </w:p>
        </w:tc>
        <w:tc>
          <w:tcPr>
            <w:tcW w:w="825" w:type="dxa"/>
            <w:gridSpan w:val="2"/>
            <w:tcBorders>
              <w:top w:val="nil"/>
              <w:left w:val="nil"/>
              <w:bottom w:val="nil"/>
              <w:right w:val="nil"/>
            </w:tcBorders>
          </w:tcPr>
          <w:p>
            <w:pPr>
              <w:pStyle w:val="TableParagraph"/>
              <w:ind w:right="-130"/>
              <w:jc w:val="right"/>
              <w:rPr>
                <w:sz w:val="17"/>
              </w:rPr>
            </w:pPr>
            <w:r>
              <w:rPr>
                <w:w w:val="99"/>
                <w:sz w:val="17"/>
                <w:shd w:fill="EBF0DE" w:color="auto" w:val="clear"/>
              </w:rPr>
              <w:t> </w:t>
            </w:r>
            <w:r>
              <w:rPr>
                <w:sz w:val="17"/>
                <w:shd w:fill="EBF0DE" w:color="auto" w:val="clear"/>
              </w:rPr>
              <w:t> £ </w:t>
            </w:r>
          </w:p>
        </w:tc>
        <w:tc>
          <w:tcPr>
            <w:tcW w:w="943" w:type="dxa"/>
            <w:tcBorders>
              <w:top w:val="nil"/>
              <w:left w:val="nil"/>
              <w:bottom w:val="nil"/>
              <w:right w:val="nil"/>
            </w:tcBorders>
          </w:tcPr>
          <w:p>
            <w:pPr>
              <w:pStyle w:val="TableParagraph"/>
              <w:ind w:left="118" w:right="-15"/>
              <w:rPr>
                <w:sz w:val="17"/>
              </w:rPr>
            </w:pPr>
            <w:r>
              <w:rPr>
                <w:sz w:val="17"/>
                <w:shd w:fill="EBF0DE" w:color="auto" w:val="clear"/>
              </w:rPr>
              <w:t>87,009.86 </w:t>
            </w:r>
            <w:r>
              <w:rPr>
                <w:spacing w:val="-5"/>
                <w:sz w:val="17"/>
                <w:shd w:fill="EBF0DE" w:color="auto" w:val="clear"/>
              </w:rPr>
              <w:t> </w:t>
            </w:r>
          </w:p>
        </w:tc>
        <w:tc>
          <w:tcPr>
            <w:tcW w:w="1160" w:type="dxa"/>
            <w:gridSpan w:val="2"/>
            <w:tcBorders>
              <w:top w:val="single" w:sz="6" w:space="0" w:color="DFDFDF"/>
              <w:left w:val="nil"/>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06" w:hRule="atLeast"/>
        </w:trPr>
        <w:tc>
          <w:tcPr>
            <w:tcW w:w="3154" w:type="dxa"/>
            <w:gridSpan w:val="2"/>
            <w:tcBorders>
              <w:top w:val="single" w:sz="6" w:space="0" w:color="DFDFDF"/>
              <w:left w:val="single" w:sz="6" w:space="0" w:color="DFDFDF"/>
              <w:bottom w:val="single" w:sz="6" w:space="0" w:color="DFDFDF"/>
              <w:right w:val="nil"/>
            </w:tcBorders>
          </w:tcPr>
          <w:p>
            <w:pPr>
              <w:pStyle w:val="TableParagraph"/>
              <w:spacing w:before="8"/>
              <w:ind w:left="31"/>
              <w:rPr>
                <w:sz w:val="17"/>
              </w:rPr>
            </w:pPr>
            <w:r>
              <w:rPr>
                <w:sz w:val="17"/>
              </w:rPr>
              <w:t>Lloyds BB Instant Online</w:t>
            </w:r>
          </w:p>
        </w:tc>
        <w:tc>
          <w:tcPr>
            <w:tcW w:w="1164" w:type="dxa"/>
            <w:gridSpan w:val="2"/>
            <w:tcBorders>
              <w:top w:val="nil"/>
              <w:left w:val="nil"/>
              <w:bottom w:val="nil"/>
              <w:right w:val="nil"/>
            </w:tcBorders>
          </w:tcPr>
          <w:p>
            <w:pPr>
              <w:pStyle w:val="TableParagraph"/>
              <w:tabs>
                <w:tab w:pos="430" w:val="left" w:leader="none"/>
              </w:tabs>
              <w:spacing w:before="8"/>
              <w:ind w:right="-15"/>
              <w:rPr>
                <w:sz w:val="17"/>
              </w:rPr>
            </w:pPr>
            <w:r>
              <w:rPr>
                <w:w w:val="99"/>
                <w:sz w:val="17"/>
                <w:shd w:fill="EBF0DE" w:color="auto" w:val="clear"/>
              </w:rPr>
              <w:t> </w:t>
            </w:r>
            <w:r>
              <w:rPr>
                <w:spacing w:val="-3"/>
                <w:sz w:val="17"/>
                <w:shd w:fill="EBF0DE" w:color="auto" w:val="clear"/>
              </w:rPr>
              <w:t> </w:t>
            </w:r>
            <w:r>
              <w:rPr>
                <w:sz w:val="17"/>
                <w:shd w:fill="EBF0DE" w:color="auto" w:val="clear"/>
              </w:rPr>
              <w:t>£</w:t>
              <w:tab/>
              <w:t>4,853.83 </w:t>
            </w:r>
            <w:r>
              <w:rPr>
                <w:spacing w:val="-5"/>
                <w:sz w:val="17"/>
                <w:shd w:fill="EBF0DE" w:color="auto" w:val="clear"/>
              </w:rPr>
              <w:t> </w:t>
            </w:r>
          </w:p>
        </w:tc>
        <w:tc>
          <w:tcPr>
            <w:tcW w:w="1160" w:type="dxa"/>
            <w:gridSpan w:val="2"/>
            <w:tcBorders>
              <w:top w:val="single" w:sz="6" w:space="0" w:color="DFDFDF"/>
              <w:left w:val="nil"/>
              <w:bottom w:val="single" w:sz="6" w:space="0" w:color="DFDFDF"/>
              <w:right w:val="single" w:sz="6" w:space="0" w:color="DFDFDF"/>
            </w:tcBorders>
          </w:tcPr>
          <w:p>
            <w:pPr>
              <w:pStyle w:val="TableParagraph"/>
              <w:spacing w:line="240" w:lineRule="auto" w:before="0"/>
              <w:rPr>
                <w:rFonts w:ascii="Times New Roman"/>
                <w:sz w:val="14"/>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4"/>
              </w:rPr>
            </w:pPr>
          </w:p>
        </w:tc>
      </w:tr>
      <w:tr>
        <w:trPr>
          <w:trHeight w:val="245" w:hRule="atLeast"/>
        </w:trPr>
        <w:tc>
          <w:tcPr>
            <w:tcW w:w="3154" w:type="dxa"/>
            <w:gridSpan w:val="2"/>
            <w:tcBorders>
              <w:top w:val="single" w:sz="6" w:space="0" w:color="DFDFDF"/>
              <w:left w:val="single" w:sz="6" w:space="0" w:color="DFDFDF"/>
              <w:bottom w:val="single" w:sz="6" w:space="0" w:color="DFDFDF"/>
              <w:right w:val="nil"/>
            </w:tcBorders>
          </w:tcPr>
          <w:p>
            <w:pPr>
              <w:pStyle w:val="TableParagraph"/>
              <w:spacing w:line="191" w:lineRule="exact" w:before="35"/>
              <w:ind w:left="31"/>
              <w:rPr>
                <w:sz w:val="17"/>
              </w:rPr>
            </w:pPr>
            <w:r>
              <w:rPr>
                <w:sz w:val="17"/>
              </w:rPr>
              <w:t>Total balances at bank</w:t>
            </w:r>
          </w:p>
        </w:tc>
        <w:tc>
          <w:tcPr>
            <w:tcW w:w="1164" w:type="dxa"/>
            <w:gridSpan w:val="2"/>
            <w:tcBorders>
              <w:top w:val="nil"/>
              <w:left w:val="nil"/>
              <w:bottom w:val="nil"/>
              <w:right w:val="nil"/>
            </w:tcBorders>
            <w:shd w:val="clear" w:color="auto" w:fill="4F81BC"/>
          </w:tcPr>
          <w:p>
            <w:pPr>
              <w:pStyle w:val="TableParagraph"/>
              <w:spacing w:line="212" w:lineRule="exact" w:before="13"/>
              <w:ind w:left="104"/>
              <w:rPr>
                <w:rFonts w:ascii="Calibri" w:hAnsi="Calibri"/>
                <w:sz w:val="19"/>
              </w:rPr>
            </w:pPr>
            <w:r>
              <w:rPr>
                <w:rFonts w:ascii="Calibri" w:hAnsi="Calibri"/>
                <w:color w:val="FFFFFF"/>
                <w:w w:val="105"/>
                <w:sz w:val="19"/>
              </w:rPr>
              <w:t>£ 91,863.69</w:t>
            </w:r>
          </w:p>
        </w:tc>
        <w:tc>
          <w:tcPr>
            <w:tcW w:w="1160" w:type="dxa"/>
            <w:gridSpan w:val="2"/>
            <w:tcBorders>
              <w:top w:val="single" w:sz="6" w:space="0" w:color="DFDFDF"/>
              <w:left w:val="nil"/>
              <w:bottom w:val="single" w:sz="6" w:space="0" w:color="DFDFDF"/>
              <w:right w:val="single" w:sz="6" w:space="0" w:color="DFDFDF"/>
            </w:tcBorders>
          </w:tcPr>
          <w:p>
            <w:pPr>
              <w:pStyle w:val="TableParagraph"/>
              <w:spacing w:line="240" w:lineRule="auto" w:before="0"/>
              <w:rPr>
                <w:rFonts w:ascii="Times New Roman"/>
                <w:sz w:val="16"/>
              </w:rPr>
            </w:pPr>
          </w:p>
        </w:tc>
        <w:tc>
          <w:tcPr>
            <w:tcW w:w="1083" w:type="dxa"/>
            <w:tcBorders>
              <w:top w:val="single" w:sz="6" w:space="0" w:color="DFDFDF"/>
              <w:left w:val="single" w:sz="6" w:space="0" w:color="DFDFDF"/>
              <w:bottom w:val="single" w:sz="6" w:space="0" w:color="DFDFDF"/>
              <w:right w:val="single" w:sz="6" w:space="0" w:color="DFDFDF"/>
            </w:tcBorders>
          </w:tcPr>
          <w:p>
            <w:pPr>
              <w:pStyle w:val="TableParagraph"/>
              <w:spacing w:line="240" w:lineRule="auto" w:before="0"/>
              <w:rPr>
                <w:rFonts w:ascii="Times New Roman"/>
                <w:sz w:val="16"/>
              </w:rPr>
            </w:pPr>
          </w:p>
        </w:tc>
      </w:tr>
    </w:tbl>
    <w:p>
      <w:pPr>
        <w:spacing w:after="0" w:line="240" w:lineRule="auto"/>
        <w:rPr>
          <w:rFonts w:ascii="Times New Roman"/>
          <w:sz w:val="16"/>
        </w:rPr>
        <w:sectPr>
          <w:pgSz w:w="11910" w:h="16840"/>
          <w:pgMar w:header="324" w:footer="758" w:top="1720" w:bottom="940" w:left="960" w:right="960"/>
        </w:sectPr>
      </w:pPr>
    </w:p>
    <w:p>
      <w:pPr>
        <w:pStyle w:val="BodyText"/>
        <w:rPr>
          <w:sz w:val="20"/>
        </w:rPr>
      </w:pPr>
    </w:p>
    <w:p>
      <w:pPr>
        <w:pStyle w:val="BodyText"/>
        <w:spacing w:before="8"/>
        <w:rPr>
          <w:sz w:val="28"/>
        </w:rPr>
      </w:pPr>
    </w:p>
    <w:p>
      <w:pPr>
        <w:pStyle w:val="BodyText"/>
        <w:ind w:left="119"/>
        <w:rPr>
          <w:sz w:val="20"/>
        </w:rPr>
      </w:pPr>
      <w:r>
        <w:rPr>
          <w:sz w:val="20"/>
        </w:rPr>
        <w:pict>
          <v:group style="width:485.75pt;height:202.5pt;mso-position-horizontal-relative:char;mso-position-vertical-relative:line" coordorigin="0,0" coordsize="9715,4050">
            <v:shape style="position:absolute;left:13;top:0;width:9701;height:824" coordorigin="13,0" coordsize="9701,824" path="m9714,0l13,0,13,823,7740,823,9714,0xe" filled="true" fillcolor="#d9d9d9" stroked="false">
              <v:path arrowok="t"/>
              <v:fill type="solid"/>
            </v:shape>
            <v:shape style="position:absolute;left:13;top:3770;width:656;height:274" coordorigin="13,3771" coordsize="656,274" path="m669,3771l13,3771,13,4044,669,3771xe" filled="true" fillcolor="#e6b8b7" stroked="false">
              <v:path arrowok="t"/>
              <v:fill type="solid"/>
            </v:shape>
            <v:shape style="position:absolute;left:6;top:1022;width:7255;height:14" coordorigin="7,1023" coordsize="7255,14" path="m7261,1023l7,1023,7,1036,7230,1036,7261,1023xe" filled="true" fillcolor="#dfdfdf" stroked="false">
              <v:path arrowok="t"/>
              <v:fill type="solid"/>
            </v:shape>
            <v:shape style="position:absolute;left:0;top:1022;width:7262;height:14" coordorigin="0,1023" coordsize="7262,14" path="m7262,1023l0,1023,0,1036,7230,1036,7262,1023xe" filled="true" fillcolor="#dfdfdf" stroked="false">
              <v:path arrowok="t"/>
              <v:fill type="solid"/>
            </v:shape>
            <v:shape style="position:absolute;left:6;top:1288;width:6618;height:14" coordorigin="7,1288" coordsize="6618,14" path="m6624,1288l7,1288,7,1301,6593,1301,6624,1288xe" filled="true" fillcolor="#dfdfdf" stroked="false">
              <v:path arrowok="t"/>
              <v:fill type="solid"/>
            </v:shape>
            <v:shape style="position:absolute;left:0;top:1288;width:6625;height:14" coordorigin="0,1288" coordsize="6625,14" path="m6624,1288l0,1288,0,1301,6593,1301,6624,1288xe" filled="true" fillcolor="#dfdfdf" stroked="false">
              <v:path arrowok="t"/>
              <v:fill type="solid"/>
            </v:shape>
            <v:shape style="position:absolute;left:6;top:1566;width:5949;height:14" coordorigin="7,1567" coordsize="5949,14" path="m5956,1567l7,1567,7,1580,5924,1580,5956,1567xe" filled="true" fillcolor="#dfdfdf" stroked="false">
              <v:path arrowok="t"/>
              <v:fill type="solid"/>
            </v:shape>
            <v:shape style="position:absolute;left:0;top:1566;width:5956;height:14" coordorigin="0,1567" coordsize="5956,14" path="m5956,1567l0,1567,0,1580,5924,1580,5956,1567xe" filled="true" fillcolor="#dfdfdf" stroked="false">
              <v:path arrowok="t"/>
              <v:fill type="solid"/>
            </v:shape>
            <v:shape style="position:absolute;left:6;top:1831;width:5314;height:14" coordorigin="7,1832" coordsize="5314,14" path="m5320,1832l7,1832,7,1845,5288,1845,5320,1832xe" filled="true" fillcolor="#dfdfdf" stroked="false">
              <v:path arrowok="t"/>
              <v:fill type="solid"/>
            </v:shape>
            <v:shape style="position:absolute;left:0;top:1831;width:5320;height:14" coordorigin="0,1832" coordsize="5320,14" path="m5320,1832l0,1832,0,1846,5287,1846,5320,1832xe" filled="true" fillcolor="#dfdfdf" stroked="false">
              <v:path arrowok="t"/>
              <v:fill type="solid"/>
            </v:shape>
            <v:shape style="position:absolute;left:6;top:2894;width:2766;height:14" coordorigin="7,2894" coordsize="2766,14" path="m2772,2894l7,2894,7,2907,2740,2907,2772,2894xe" filled="true" fillcolor="#dfdfdf" stroked="false">
              <v:path arrowok="t"/>
              <v:fill type="solid"/>
            </v:shape>
            <v:shape style="position:absolute;left:0;top:2894;width:2772;height:14" coordorigin="0,2894" coordsize="2772,14" path="m2772,2894l0,2894,0,2907,2740,2907,2772,2894xe" filled="true" fillcolor="#dfdfdf" stroked="false">
              <v:path arrowok="t"/>
              <v:fill type="solid"/>
            </v:shape>
            <v:shape style="position:absolute;left:6;top:3213;width:2000;height:14" coordorigin="7,3213" coordsize="2000,14" path="m2007,3213l7,3213,7,3226,1975,3226,2007,3213xe" filled="true" fillcolor="#dfdfdf" stroked="false">
              <v:path arrowok="t"/>
              <v:fill type="solid"/>
            </v:shape>
            <v:shape style="position:absolute;left:0;top:3213;width:2007;height:14" coordorigin="0,3213" coordsize="2007,14" path="m2007,3213l0,3213,0,3226,1975,3226,2007,3213xe" filled="true" fillcolor="#dfdfdf" stroked="false">
              <v:path arrowok="t"/>
              <v:fill type="solid"/>
            </v:shape>
            <v:rect style="position:absolute;left:0;top:829;width:14;height:2935" filled="true" fillcolor="#dfdfdf" stroked="false">
              <v:fill type="solid"/>
            </v:rect>
            <v:rect style="position:absolute;left:0;top:823;width:14;height:2948" filled="true" fillcolor="#dfdfdf" stroked="false">
              <v:fill type="solid"/>
            </v:rect>
            <v:shape style="position:absolute;left:4700;top:829;width:14;height:1261" coordorigin="4700,830" coordsize="14,1261" path="m4714,830l4700,830,4700,2090,4714,2085,4714,830xe" filled="true" fillcolor="#dfdfdf" stroked="false">
              <v:path arrowok="t"/>
              <v:fill type="solid"/>
            </v:shape>
            <v:shape style="position:absolute;left:4700;top:823;width:14;height:1268" coordorigin="4700,823" coordsize="14,1268" path="m4713,823l4700,823,4700,2090,4713,2085,4713,823xe" filled="true" fillcolor="#dfdfdf" stroked="false">
              <v:path arrowok="t"/>
              <v:fill type="solid"/>
            </v:shape>
            <v:shape style="position:absolute;left:5921;top:829;width:14;height:752" coordorigin="5922,830" coordsize="14,752" path="m5935,830l5922,830,5922,1581,5935,1575,5935,830xe" filled="true" fillcolor="#dfdfdf" stroked="false">
              <v:path arrowok="t"/>
              <v:fill type="solid"/>
            </v:shape>
            <v:shape style="position:absolute;left:5921;top:823;width:14;height:758" coordorigin="5922,823" coordsize="14,758" path="m5935,823l5922,823,5922,1581,5935,1575,5935,823xe" filled="true" fillcolor="#dfdfdf" stroked="false">
              <v:path arrowok="t"/>
              <v:fill type="solid"/>
            </v:shape>
            <v:shape style="position:absolute;left:7090;top:829;width:14;height:264" coordorigin="7091,830" coordsize="14,264" path="m7104,830l7091,830,7091,1094,7104,1088,7104,830xe" filled="true" fillcolor="#dfdfdf" stroked="false">
              <v:path arrowok="t"/>
              <v:fill type="solid"/>
            </v:shape>
            <v:shape style="position:absolute;left:7090;top:823;width:14;height:271" coordorigin="7090,823" coordsize="14,271" path="m7104,823l7090,823,7090,1094,7104,1088,7104,823xe" filled="true" fillcolor="#dfdfdf" stroked="false">
              <v:path arrowok="t"/>
              <v:fill type="solid"/>
            </v:shape>
            <v:shape style="position:absolute;left:6;top:3770;width:663;height:14" coordorigin="7,3771" coordsize="663,14" path="m669,3771l7,3771,7,3784,637,3784,669,3771xe" filled="true" fillcolor="#000000" stroked="false">
              <v:path arrowok="t"/>
              <v:fill type="solid"/>
            </v:shape>
            <v:shape style="position:absolute;left:0;top:3770;width:670;height:14" coordorigin="0,3771" coordsize="670,14" path="m669,3771l0,3771,0,3784,637,3784,669,3771xe" filled="true" fillcolor="#000000" stroked="false">
              <v:path arrowok="t"/>
              <v:fill type="solid"/>
            </v:shape>
            <v:shape style="position:absolute;left:6;top:4036;width:26;height:11" coordorigin="7,4036" coordsize="26,11" path="m32,4036l7,4036,7,4047,32,4036xe" filled="true" fillcolor="#000000" stroked="false">
              <v:path arrowok="t"/>
              <v:fill type="solid"/>
            </v:shape>
            <v:shape style="position:absolute;left:0;top:4036;width:33;height:14" coordorigin="0,4036" coordsize="33,14" path="m32,4036l0,4036,0,4050,0,4050,32,4036xe" filled="true" fillcolor="#000000" stroked="false">
              <v:path arrowok="t"/>
              <v:fill type="solid"/>
            </v:shape>
            <v:shape style="position:absolute;left:4740;top:342;width:838;height:465" type="#_x0000_t202" filled="false" stroked="false">
              <v:textbox inset="0,0,0,0">
                <w:txbxContent>
                  <w:p>
                    <w:pPr>
                      <w:spacing w:line="203" w:lineRule="exact" w:before="0"/>
                      <w:ind w:left="0" w:right="0" w:firstLine="0"/>
                      <w:jc w:val="left"/>
                      <w:rPr>
                        <w:rFonts w:ascii="Calibri"/>
                        <w:b/>
                        <w:sz w:val="20"/>
                      </w:rPr>
                    </w:pPr>
                    <w:r>
                      <w:rPr>
                        <w:rFonts w:ascii="Calibri"/>
                        <w:b/>
                        <w:sz w:val="20"/>
                      </w:rPr>
                      <w:t>Total at</w:t>
                    </w:r>
                  </w:p>
                  <w:p>
                    <w:pPr>
                      <w:spacing w:line="240" w:lineRule="exact" w:before="21"/>
                      <w:ind w:left="0" w:right="0" w:firstLine="0"/>
                      <w:jc w:val="left"/>
                      <w:rPr>
                        <w:rFonts w:ascii="Calibri"/>
                        <w:b/>
                        <w:sz w:val="20"/>
                      </w:rPr>
                    </w:pPr>
                    <w:r>
                      <w:rPr>
                        <w:rFonts w:ascii="Calibri"/>
                        <w:b/>
                        <w:spacing w:val="-8"/>
                        <w:sz w:val="20"/>
                      </w:rPr>
                      <w:t>31/3/2022</w:t>
                    </w:r>
                  </w:p>
                </w:txbxContent>
              </v:textbox>
              <w10:wrap type="none"/>
            </v:shape>
            <v:shape style="position:absolute;left:5961;top:76;width:851;height:731" type="#_x0000_t202" filled="false" stroked="false">
              <v:textbox inset="0,0,0,0">
                <w:txbxContent>
                  <w:p>
                    <w:pPr>
                      <w:spacing w:line="203" w:lineRule="exact" w:before="0"/>
                      <w:ind w:left="0" w:right="0" w:firstLine="0"/>
                      <w:jc w:val="left"/>
                      <w:rPr>
                        <w:rFonts w:ascii="Calibri"/>
                        <w:b/>
                        <w:sz w:val="20"/>
                      </w:rPr>
                    </w:pPr>
                    <w:r>
                      <w:rPr>
                        <w:rFonts w:ascii="Calibri"/>
                        <w:b/>
                        <w:sz w:val="20"/>
                      </w:rPr>
                      <w:t>Budget</w:t>
                    </w:r>
                  </w:p>
                  <w:p>
                    <w:pPr>
                      <w:spacing w:line="261" w:lineRule="auto" w:before="17"/>
                      <w:ind w:left="0" w:right="18" w:firstLine="0"/>
                      <w:jc w:val="left"/>
                      <w:rPr>
                        <w:rFonts w:ascii="Calibri"/>
                        <w:b/>
                        <w:sz w:val="20"/>
                      </w:rPr>
                    </w:pPr>
                    <w:r>
                      <w:rPr>
                        <w:rFonts w:ascii="Calibri"/>
                        <w:b/>
                        <w:sz w:val="20"/>
                      </w:rPr>
                      <w:t>additions </w:t>
                    </w:r>
                    <w:r>
                      <w:rPr>
                        <w:rFonts w:ascii="Calibri"/>
                        <w:b/>
                        <w:spacing w:val="-5"/>
                        <w:sz w:val="20"/>
                      </w:rPr>
                      <w:t>FY2022-23</w:t>
                    </w:r>
                  </w:p>
                </w:txbxContent>
              </v:textbox>
              <w10:wrap type="none"/>
            </v:shape>
            <v:shape style="position:absolute;left:7130;top:342;width:1202;height:465" type="#_x0000_t202" filled="false" stroked="false">
              <v:textbox inset="0,0,0,0">
                <w:txbxContent>
                  <w:p>
                    <w:pPr>
                      <w:spacing w:line="203" w:lineRule="exact" w:before="0"/>
                      <w:ind w:left="39" w:right="0" w:firstLine="0"/>
                      <w:jc w:val="left"/>
                      <w:rPr>
                        <w:rFonts w:ascii="Calibri"/>
                        <w:b/>
                        <w:sz w:val="20"/>
                      </w:rPr>
                    </w:pPr>
                    <w:r>
                      <w:rPr>
                        <w:rFonts w:ascii="Calibri"/>
                        <w:b/>
                        <w:sz w:val="20"/>
                      </w:rPr>
                      <w:t>In year xfer</w:t>
                    </w:r>
                    <w:r>
                      <w:rPr>
                        <w:rFonts w:ascii="Calibri"/>
                        <w:b/>
                        <w:spacing w:val="-28"/>
                        <w:sz w:val="20"/>
                      </w:rPr>
                      <w:t> </w:t>
                    </w:r>
                    <w:r>
                      <w:rPr>
                        <w:rFonts w:ascii="Calibri"/>
                        <w:b/>
                        <w:sz w:val="20"/>
                      </w:rPr>
                      <w:t>to</w:t>
                    </w:r>
                  </w:p>
                  <w:p>
                    <w:pPr>
                      <w:spacing w:line="240" w:lineRule="exact" w:before="21"/>
                      <w:ind w:left="0" w:right="0" w:firstLine="0"/>
                      <w:jc w:val="left"/>
                      <w:rPr>
                        <w:rFonts w:ascii="Calibri"/>
                        <w:b/>
                        <w:sz w:val="20"/>
                      </w:rPr>
                    </w:pPr>
                    <w:r>
                      <w:rPr>
                        <w:rFonts w:ascii="Calibri"/>
                        <w:b/>
                        <w:sz w:val="20"/>
                      </w:rPr>
                      <w:t>budget line</w:t>
                    </w:r>
                  </w:p>
                </w:txbxContent>
              </v:textbox>
              <w10:wrap type="none"/>
            </v:shape>
            <v:shape style="position:absolute;left:8564;top:76;width:428;height:465" type="#_x0000_t202" filled="false" stroked="false">
              <v:textbox inset="0,0,0,0">
                <w:txbxContent>
                  <w:p>
                    <w:pPr>
                      <w:spacing w:line="203" w:lineRule="exact" w:before="0"/>
                      <w:ind w:left="0" w:right="0" w:firstLine="0"/>
                      <w:jc w:val="left"/>
                      <w:rPr>
                        <w:rFonts w:ascii="Calibri"/>
                        <w:b/>
                        <w:sz w:val="20"/>
                      </w:rPr>
                    </w:pPr>
                    <w:r>
                      <w:rPr>
                        <w:rFonts w:ascii="Calibri"/>
                        <w:b/>
                        <w:sz w:val="20"/>
                      </w:rPr>
                      <w:t>Total</w:t>
                    </w:r>
                  </w:p>
                  <w:p>
                    <w:pPr>
                      <w:spacing w:line="240" w:lineRule="exact" w:before="21"/>
                      <w:ind w:left="0" w:right="0" w:firstLine="0"/>
                      <w:jc w:val="left"/>
                      <w:rPr>
                        <w:rFonts w:ascii="Calibri"/>
                        <w:b/>
                        <w:sz w:val="20"/>
                      </w:rPr>
                    </w:pPr>
                    <w:r>
                      <w:rPr>
                        <w:rFonts w:ascii="Calibri"/>
                        <w:b/>
                        <w:w w:val="99"/>
                        <w:sz w:val="20"/>
                      </w:rPr>
                      <w:t>R</w:t>
                    </w:r>
                  </w:p>
                </w:txbxContent>
              </v:textbox>
              <w10:wrap type="none"/>
            </v:shape>
            <v:shape style="position:absolute;left:39;top:820;width:2859;height:199" type="#_x0000_t202" filled="false" stroked="false">
              <v:textbox inset="0,0,0,0">
                <w:txbxContent>
                  <w:p>
                    <w:pPr>
                      <w:spacing w:line="199" w:lineRule="exact" w:before="0"/>
                      <w:ind w:left="0" w:right="0" w:firstLine="0"/>
                      <w:jc w:val="left"/>
                      <w:rPr>
                        <w:rFonts w:ascii="Calibri"/>
                        <w:b/>
                        <w:sz w:val="20"/>
                      </w:rPr>
                    </w:pPr>
                    <w:r>
                      <w:rPr>
                        <w:rFonts w:ascii="Calibri"/>
                        <w:b/>
                        <w:sz w:val="20"/>
                      </w:rPr>
                      <w:t>projects</w:t>
                    </w:r>
                    <w:r>
                      <w:rPr>
                        <w:rFonts w:ascii="Calibri"/>
                        <w:b/>
                        <w:spacing w:val="-9"/>
                        <w:sz w:val="20"/>
                      </w:rPr>
                      <w:t> </w:t>
                    </w:r>
                    <w:r>
                      <w:rPr>
                        <w:rFonts w:ascii="Calibri"/>
                        <w:b/>
                        <w:sz w:val="20"/>
                      </w:rPr>
                      <w:t>with</w:t>
                    </w:r>
                    <w:r>
                      <w:rPr>
                        <w:rFonts w:ascii="Calibri"/>
                        <w:b/>
                        <w:spacing w:val="-10"/>
                        <w:sz w:val="20"/>
                      </w:rPr>
                      <w:t> </w:t>
                    </w:r>
                    <w:r>
                      <w:rPr>
                        <w:rFonts w:ascii="Calibri"/>
                        <w:b/>
                        <w:sz w:val="20"/>
                      </w:rPr>
                      <w:t>ring</w:t>
                    </w:r>
                    <w:r>
                      <w:rPr>
                        <w:rFonts w:ascii="Calibri"/>
                        <w:b/>
                        <w:spacing w:val="-9"/>
                        <w:sz w:val="20"/>
                      </w:rPr>
                      <w:t> </w:t>
                    </w:r>
                    <w:r>
                      <w:rPr>
                        <w:rFonts w:ascii="Calibri"/>
                        <w:b/>
                        <w:sz w:val="20"/>
                      </w:rPr>
                      <w:t>fenced</w:t>
                    </w:r>
                    <w:r>
                      <w:rPr>
                        <w:rFonts w:ascii="Calibri"/>
                        <w:b/>
                        <w:spacing w:val="-10"/>
                        <w:sz w:val="20"/>
                      </w:rPr>
                      <w:t> </w:t>
                    </w:r>
                    <w:r>
                      <w:rPr>
                        <w:rFonts w:ascii="Calibri"/>
                        <w:b/>
                        <w:sz w:val="20"/>
                      </w:rPr>
                      <w:t>reserves:</w:t>
                    </w:r>
                  </w:p>
                </w:txbxContent>
              </v:textbox>
              <w10:wrap type="none"/>
            </v:shape>
            <v:shape style="position:absolute;left:6306;top:1085;width:588;height:199" type="#_x0000_t202" filled="false" stroked="false">
              <v:textbox inset="0,0,0,0">
                <w:txbxContent>
                  <w:p>
                    <w:pPr>
                      <w:spacing w:line="199" w:lineRule="exact" w:before="0"/>
                      <w:ind w:left="0" w:right="0" w:firstLine="0"/>
                      <w:jc w:val="left"/>
                      <w:rPr>
                        <w:rFonts w:ascii="Calibri" w:hAnsi="Calibri"/>
                        <w:sz w:val="20"/>
                      </w:rPr>
                    </w:pPr>
                    <w:r>
                      <w:rPr>
                        <w:rFonts w:ascii="Calibri" w:hAnsi="Calibri"/>
                        <w:spacing w:val="-6"/>
                        <w:sz w:val="20"/>
                      </w:rPr>
                      <w:t>£3,000.</w:t>
                    </w:r>
                  </w:p>
                </w:txbxContent>
              </v:textbox>
              <w10:wrap type="none"/>
            </v:shape>
            <v:shape style="position:absolute;left:5138;top:1629;width:546;height:199" type="#_x0000_t202" filled="false" stroked="false">
              <v:textbox inset="0,0,0,0">
                <w:txbxContent>
                  <w:p>
                    <w:pPr>
                      <w:spacing w:line="199" w:lineRule="exact" w:before="0"/>
                      <w:ind w:left="0" w:right="0" w:firstLine="0"/>
                      <w:jc w:val="left"/>
                      <w:rPr>
                        <w:rFonts w:ascii="Calibri" w:hAnsi="Calibri"/>
                        <w:sz w:val="20"/>
                      </w:rPr>
                    </w:pPr>
                    <w:r>
                      <w:rPr>
                        <w:rFonts w:ascii="Calibri" w:hAnsi="Calibri"/>
                        <w:spacing w:val="-6"/>
                        <w:sz w:val="20"/>
                      </w:rPr>
                      <w:t>£1,500</w:t>
                    </w:r>
                  </w:p>
                </w:txbxContent>
              </v:textbox>
              <w10:wrap type="none"/>
            </v:shape>
            <v:shape style="position:absolute;left:0;top:2160;width:4066;height:731" type="#_x0000_t202" filled="false" stroked="false">
              <v:textbox inset="0,0,0,0">
                <w:txbxContent>
                  <w:p>
                    <w:pPr>
                      <w:tabs>
                        <w:tab w:pos="4045" w:val="left" w:leader="none"/>
                      </w:tabs>
                      <w:spacing w:line="203" w:lineRule="exact" w:before="0"/>
                      <w:ind w:left="0" w:right="0" w:firstLine="0"/>
                      <w:jc w:val="left"/>
                      <w:rPr>
                        <w:rFonts w:ascii="Calibri"/>
                        <w:sz w:val="20"/>
                      </w:rPr>
                    </w:pPr>
                    <w:r>
                      <w:rPr>
                        <w:rFonts w:ascii="Calibri"/>
                        <w:spacing w:val="-6"/>
                        <w:w w:val="99"/>
                        <w:sz w:val="20"/>
                        <w:u w:val="single" w:color="DFDFDF"/>
                      </w:rPr>
                      <w:t> </w:t>
                    </w:r>
                    <w:r>
                      <w:rPr>
                        <w:rFonts w:ascii="Calibri"/>
                        <w:sz w:val="20"/>
                        <w:u w:val="single" w:color="DFDFDF"/>
                      </w:rPr>
                      <w:t>Play area</w:t>
                    </w:r>
                    <w:r>
                      <w:rPr>
                        <w:rFonts w:ascii="Calibri"/>
                        <w:spacing w:val="2"/>
                        <w:sz w:val="20"/>
                        <w:u w:val="single" w:color="DFDFDF"/>
                      </w:rPr>
                      <w:t> </w:t>
                    </w:r>
                    <w:r>
                      <w:rPr>
                        <w:rFonts w:ascii="Calibri"/>
                        <w:sz w:val="20"/>
                        <w:u w:val="single" w:color="DFDFDF"/>
                      </w:rPr>
                      <w:t>enhancement</w:t>
                      <w:tab/>
                    </w:r>
                  </w:p>
                  <w:p>
                    <w:pPr>
                      <w:spacing w:line="261" w:lineRule="auto" w:before="17"/>
                      <w:ind w:left="39" w:right="0" w:hanging="40"/>
                      <w:jc w:val="left"/>
                      <w:rPr>
                        <w:rFonts w:ascii="Calibri"/>
                        <w:sz w:val="20"/>
                      </w:rPr>
                    </w:pPr>
                    <w:r>
                      <w:rPr>
                        <w:rFonts w:ascii="Calibri"/>
                        <w:w w:val="99"/>
                        <w:sz w:val="20"/>
                        <w:u w:val="single" w:color="DFDFDF"/>
                      </w:rPr>
                      <w:t> </w:t>
                    </w:r>
                    <w:r>
                      <w:rPr>
                        <w:rFonts w:ascii="Calibri"/>
                        <w:sz w:val="20"/>
                        <w:u w:val="single" w:color="DFDFDF"/>
                      </w:rPr>
                      <w:t>Cemetery extension - reinstate burial gro</w:t>
                    </w:r>
                    <w:r>
                      <w:rPr>
                        <w:rFonts w:ascii="Calibri"/>
                        <w:sz w:val="20"/>
                      </w:rPr>
                      <w:t>und Defibrillator reserve</w:t>
                    </w:r>
                  </w:p>
                </w:txbxContent>
              </v:textbox>
              <w10:wrap type="none"/>
            </v:shape>
            <v:shape style="position:absolute;left:0;top:3302;width:1636;height:731" type="#_x0000_t202" filled="false" stroked="false">
              <v:textbox inset="0,0,0,0">
                <w:txbxContent>
                  <w:p>
                    <w:pPr>
                      <w:spacing w:line="203" w:lineRule="exact" w:before="0"/>
                      <w:ind w:left="0" w:right="0" w:firstLine="0"/>
                      <w:jc w:val="left"/>
                      <w:rPr>
                        <w:rFonts w:ascii="Calibri"/>
                        <w:sz w:val="20"/>
                      </w:rPr>
                    </w:pPr>
                    <w:r>
                      <w:rPr>
                        <w:rFonts w:ascii="Calibri"/>
                        <w:w w:val="99"/>
                        <w:sz w:val="20"/>
                        <w:u w:val="single" w:color="DFDFDF"/>
                      </w:rPr>
                      <w:t> </w:t>
                    </w:r>
                    <w:r>
                      <w:rPr>
                        <w:rFonts w:ascii="Calibri"/>
                        <w:sz w:val="20"/>
                        <w:u w:val="single" w:color="DFDFDF"/>
                      </w:rPr>
                      <w:t>Laptop replacem</w:t>
                    </w:r>
                    <w:r>
                      <w:rPr>
                        <w:rFonts w:ascii="Calibri"/>
                        <w:sz w:val="20"/>
                      </w:rPr>
                      <w:t>en</w:t>
                    </w:r>
                  </w:p>
                  <w:p>
                    <w:pPr>
                      <w:spacing w:before="21"/>
                      <w:ind w:left="39" w:right="0" w:firstLine="0"/>
                      <w:jc w:val="left"/>
                      <w:rPr>
                        <w:rFonts w:ascii="Calibri"/>
                        <w:sz w:val="20"/>
                      </w:rPr>
                    </w:pPr>
                    <w:r>
                      <w:rPr>
                        <w:rFonts w:ascii="Calibri"/>
                        <w:sz w:val="20"/>
                      </w:rPr>
                      <w:t>Admin - 12</w:t>
                    </w:r>
                  </w:p>
                  <w:p>
                    <w:pPr>
                      <w:spacing w:line="240" w:lineRule="exact" w:before="22"/>
                      <w:ind w:left="39" w:right="0" w:firstLine="0"/>
                      <w:jc w:val="left"/>
                      <w:rPr>
                        <w:rFonts w:ascii="Calibri"/>
                        <w:b/>
                        <w:sz w:val="20"/>
                      </w:rPr>
                    </w:pPr>
                    <w:r>
                      <w:rPr>
                        <w:rFonts w:ascii="Calibri"/>
                        <w:b/>
                        <w:sz w:val="20"/>
                      </w:rPr>
                      <w:t>TOT</w:t>
                    </w:r>
                  </w:p>
                </w:txbxContent>
              </v:textbox>
              <w10:wrap type="none"/>
            </v:shape>
            <v:shape style="position:absolute;left:6;top:2900;width:1143;height:319" type="#_x0000_t202" filled="false" stroked="true" strokeweight=".662986pt" strokecolor="#dfdfdf">
              <v:textbox inset="0,0,0,0">
                <w:txbxContent>
                  <w:p>
                    <w:pPr>
                      <w:spacing w:line="244" w:lineRule="exact" w:before="62"/>
                      <w:ind w:left="26" w:right="0" w:firstLine="0"/>
                      <w:jc w:val="left"/>
                      <w:rPr>
                        <w:rFonts w:ascii="Calibri"/>
                        <w:sz w:val="20"/>
                      </w:rPr>
                    </w:pPr>
                    <w:r>
                      <w:rPr>
                        <w:rFonts w:ascii="Calibri"/>
                        <w:sz w:val="20"/>
                      </w:rPr>
                      <w:t>Bus Shelter</w:t>
                    </w:r>
                  </w:p>
                </w:txbxContent>
              </v:textbox>
              <v:stroke dashstyle="solid"/>
              <w10:wrap type="none"/>
            </v:shape>
            <v:shape style="position:absolute;left:6;top:1838;width:4701;height:266" type="#_x0000_t202" filled="false" stroked="true" strokeweight=".667407pt" strokecolor="#dfdfdf">
              <v:textbox inset="0,0,0,0">
                <w:txbxContent>
                  <w:p>
                    <w:pPr>
                      <w:spacing w:line="243" w:lineRule="exact" w:before="8"/>
                      <w:ind w:left="26" w:right="0" w:firstLine="0"/>
                      <w:jc w:val="left"/>
                      <w:rPr>
                        <w:rFonts w:ascii="Calibri"/>
                        <w:sz w:val="20"/>
                      </w:rPr>
                    </w:pPr>
                    <w:r>
                      <w:rPr>
                        <w:rFonts w:ascii="Calibri"/>
                        <w:sz w:val="20"/>
                      </w:rPr>
                      <w:t>Pavilion car park maintenance</w:t>
                    </w:r>
                  </w:p>
                </w:txbxContent>
              </v:textbox>
              <v:stroke dashstyle="solid"/>
              <w10:wrap type="none"/>
            </v:shape>
            <v:shape style="position:absolute;left:6;top:1573;width:4701;height:266" type="#_x0000_t202" filled="false" stroked="true" strokeweight=".667407pt" strokecolor="#dfdfdf">
              <v:textbox inset="0,0,0,0">
                <w:txbxContent>
                  <w:p>
                    <w:pPr>
                      <w:spacing w:line="243" w:lineRule="exact" w:before="8"/>
                      <w:ind w:left="26" w:right="0" w:firstLine="0"/>
                      <w:jc w:val="left"/>
                      <w:rPr>
                        <w:rFonts w:ascii="Calibri"/>
                        <w:sz w:val="20"/>
                      </w:rPr>
                    </w:pPr>
                    <w:r>
                      <w:rPr>
                        <w:rFonts w:ascii="Calibri"/>
                        <w:sz w:val="20"/>
                      </w:rPr>
                      <w:t>Village Car park fence &amp; maintenance</w:t>
                    </w:r>
                  </w:p>
                </w:txbxContent>
              </v:textbox>
              <v:stroke dashstyle="solid"/>
              <w10:wrap type="none"/>
            </v:shape>
            <v:shape style="position:absolute;left:4706;top:1294;width:1222;height:279" type="#_x0000_t202" filled="false" stroked="true" strokeweight=".667407pt" strokecolor="#dfdfdf">
              <v:textbox inset="0,0,0,0">
                <w:txbxContent>
                  <w:p>
                    <w:pPr>
                      <w:spacing w:line="244" w:lineRule="exact" w:before="21"/>
                      <w:ind w:left="425" w:right="0" w:firstLine="0"/>
                      <w:jc w:val="left"/>
                      <w:rPr>
                        <w:rFonts w:ascii="Calibri" w:hAnsi="Calibri"/>
                        <w:sz w:val="20"/>
                      </w:rPr>
                    </w:pPr>
                    <w:r>
                      <w:rPr>
                        <w:rFonts w:ascii="Calibri" w:hAnsi="Calibri"/>
                        <w:spacing w:val="-6"/>
                        <w:sz w:val="20"/>
                      </w:rPr>
                      <w:t>£1,000.00</w:t>
                    </w:r>
                  </w:p>
                </w:txbxContent>
              </v:textbox>
              <v:stroke dashstyle="solid"/>
              <w10:wrap type="none"/>
            </v:shape>
            <v:shape style="position:absolute;left:6;top:1294;width:4701;height:279" type="#_x0000_t202" filled="false" stroked="true" strokeweight=".667407pt" strokecolor="#dfdfdf">
              <v:textbox inset="0,0,0,0">
                <w:txbxContent>
                  <w:p>
                    <w:pPr>
                      <w:spacing w:line="244" w:lineRule="exact" w:before="21"/>
                      <w:ind w:left="26" w:right="0" w:firstLine="0"/>
                      <w:jc w:val="left"/>
                      <w:rPr>
                        <w:rFonts w:ascii="Calibri"/>
                        <w:sz w:val="20"/>
                      </w:rPr>
                    </w:pPr>
                    <w:r>
                      <w:rPr>
                        <w:rFonts w:ascii="Calibri"/>
                        <w:sz w:val="20"/>
                      </w:rPr>
                      <w:t>Churchyard wall and gate &amp; legal fees</w:t>
                    </w:r>
                  </w:p>
                </w:txbxContent>
              </v:textbox>
              <v:stroke dashstyle="solid"/>
              <w10:wrap type="none"/>
            </v:shape>
            <v:shape style="position:absolute;left:4706;top:1029;width:1222;height:266" type="#_x0000_t202" filled="false" stroked="true" strokeweight=".667407pt" strokecolor="#dfdfdf">
              <v:textbox inset="0,0,0,0">
                <w:txbxContent>
                  <w:p>
                    <w:pPr>
                      <w:spacing w:line="244" w:lineRule="exact" w:before="8"/>
                      <w:ind w:left="331" w:right="0" w:firstLine="0"/>
                      <w:jc w:val="left"/>
                      <w:rPr>
                        <w:rFonts w:ascii="Calibri" w:hAnsi="Calibri"/>
                        <w:sz w:val="20"/>
                      </w:rPr>
                    </w:pPr>
                    <w:r>
                      <w:rPr>
                        <w:rFonts w:ascii="Calibri" w:hAnsi="Calibri"/>
                        <w:spacing w:val="-6"/>
                        <w:sz w:val="20"/>
                      </w:rPr>
                      <w:t>£29,401.00</w:t>
                    </w:r>
                  </w:p>
                </w:txbxContent>
              </v:textbox>
              <v:stroke dashstyle="solid"/>
              <w10:wrap type="none"/>
            </v:shape>
            <v:shape style="position:absolute;left:6;top:1029;width:4701;height:266" type="#_x0000_t202" filled="false" stroked="true" strokeweight=".667407pt" strokecolor="#dfdfdf">
              <v:textbox inset="0,0,0,0">
                <w:txbxContent>
                  <w:p>
                    <w:pPr>
                      <w:spacing w:line="244" w:lineRule="exact" w:before="8"/>
                      <w:ind w:left="26" w:right="0" w:firstLine="0"/>
                      <w:jc w:val="left"/>
                      <w:rPr>
                        <w:rFonts w:ascii="Calibri"/>
                        <w:sz w:val="20"/>
                      </w:rPr>
                    </w:pPr>
                    <w:r>
                      <w:rPr>
                        <w:rFonts w:ascii="Calibri"/>
                        <w:sz w:val="20"/>
                      </w:rPr>
                      <w:t>Pavilion refurbishment</w:t>
                    </w:r>
                  </w:p>
                </w:txbxContent>
              </v:textbox>
              <v:stroke dashstyle="solid"/>
              <w10:wrap type="none"/>
            </v:shape>
          </v:group>
        </w:pict>
      </w:r>
      <w:r>
        <w:rPr>
          <w:sz w:val="20"/>
        </w:rPr>
      </w:r>
    </w:p>
    <w:p>
      <w:pPr>
        <w:pStyle w:val="BodyText"/>
        <w:spacing w:before="10"/>
        <w:rPr>
          <w:sz w:val="11"/>
        </w:rPr>
      </w:pPr>
    </w:p>
    <w:p>
      <w:pPr>
        <w:pStyle w:val="BodyText"/>
        <w:spacing w:before="100"/>
        <w:ind w:left="120" w:right="760"/>
      </w:pPr>
      <w:r>
        <w:rPr>
          <w:b/>
        </w:rPr>
        <w:t>23/10 Finance – </w:t>
      </w:r>
      <w:r>
        <w:rPr/>
        <w:t>To review and approve the 2023-24 Risk Management Scheme </w:t>
      </w:r>
      <w:r>
        <w:rPr>
          <w:b/>
        </w:rPr>
        <w:t>RESOLVED: </w:t>
      </w:r>
      <w:r>
        <w:rPr/>
        <w:t>To approve the 2023-24 Risk Management Scheme and to publish on the Parish website.</w:t>
      </w:r>
    </w:p>
    <w:p>
      <w:pPr>
        <w:spacing w:before="1"/>
        <w:ind w:left="120" w:right="66" w:firstLine="8154"/>
        <w:jc w:val="left"/>
        <w:rPr>
          <w:sz w:val="22"/>
        </w:rPr>
      </w:pPr>
      <w:r>
        <w:rPr>
          <w:b/>
          <w:sz w:val="22"/>
        </w:rPr>
        <w:t>ACTION: </w:t>
      </w:r>
      <w:r>
        <w:rPr>
          <w:b/>
          <w:spacing w:val="-4"/>
          <w:sz w:val="22"/>
        </w:rPr>
        <w:t>Clerk </w:t>
      </w:r>
      <w:r>
        <w:rPr>
          <w:b/>
          <w:sz w:val="22"/>
        </w:rPr>
        <w:t>23/11 Finance – </w:t>
      </w:r>
      <w:r>
        <w:rPr>
          <w:sz w:val="22"/>
        </w:rPr>
        <w:t>To consider a Budget/Precept Setting Report for publication on the Parish website.</w:t>
      </w:r>
    </w:p>
    <w:p>
      <w:pPr>
        <w:pStyle w:val="BodyText"/>
        <w:ind w:left="120" w:right="201"/>
      </w:pPr>
      <w:r>
        <w:rPr/>
        <w:t>This was discussed and decided that the Chairs statement already released regarding the setting of the precept was sufficient.</w:t>
      </w:r>
    </w:p>
    <w:p>
      <w:pPr>
        <w:pStyle w:val="BodyText"/>
      </w:pPr>
    </w:p>
    <w:p>
      <w:pPr>
        <w:pStyle w:val="Heading1"/>
        <w:spacing w:before="1"/>
      </w:pPr>
      <w:r>
        <w:rPr/>
        <w:t>23/12 Finance – To consider quotes for the Ground Maintenance Contract 2023-24</w:t>
      </w:r>
    </w:p>
    <w:p>
      <w:pPr>
        <w:pStyle w:val="BodyText"/>
        <w:tabs>
          <w:tab w:pos="955" w:val="left" w:leader="none"/>
        </w:tabs>
        <w:ind w:left="120" w:right="5117"/>
      </w:pPr>
      <w:r>
        <w:rPr>
          <w:u w:val="single"/>
        </w:rPr>
        <w:t>Quote 1 (3 yr contract) – 26 cut and mulch basis</w:t>
      </w:r>
      <w:r>
        <w:rPr/>
        <w:t> Year</w:t>
      </w:r>
      <w:r>
        <w:rPr>
          <w:spacing w:val="-1"/>
        </w:rPr>
        <w:t> </w:t>
      </w:r>
      <w:r>
        <w:rPr/>
        <w:t>1</w:t>
        <w:tab/>
        <w:t>£12,805.00</w:t>
      </w:r>
    </w:p>
    <w:p>
      <w:pPr>
        <w:pStyle w:val="BodyText"/>
        <w:tabs>
          <w:tab w:pos="955" w:val="left" w:leader="none"/>
        </w:tabs>
        <w:spacing w:line="265" w:lineRule="exact"/>
        <w:ind w:left="120"/>
      </w:pPr>
      <w:r>
        <w:rPr/>
        <w:t>Year</w:t>
      </w:r>
      <w:r>
        <w:rPr>
          <w:spacing w:val="-1"/>
        </w:rPr>
        <w:t> </w:t>
      </w:r>
      <w:r>
        <w:rPr/>
        <w:t>2</w:t>
        <w:tab/>
        <w:t>£13,189.15</w:t>
      </w:r>
    </w:p>
    <w:p>
      <w:pPr>
        <w:pStyle w:val="BodyText"/>
        <w:tabs>
          <w:tab w:pos="955" w:val="left" w:leader="none"/>
        </w:tabs>
        <w:spacing w:before="1"/>
        <w:ind w:left="120"/>
      </w:pPr>
      <w:r>
        <w:rPr/>
        <w:t>Year</w:t>
      </w:r>
      <w:r>
        <w:rPr>
          <w:spacing w:val="-1"/>
        </w:rPr>
        <w:t> </w:t>
      </w:r>
      <w:r>
        <w:rPr/>
        <w:t>3</w:t>
        <w:tab/>
        <w:t>£13,584.82</w:t>
      </w:r>
    </w:p>
    <w:p>
      <w:pPr>
        <w:pStyle w:val="BodyText"/>
        <w:spacing w:before="11"/>
        <w:rPr>
          <w:sz w:val="21"/>
        </w:rPr>
      </w:pPr>
    </w:p>
    <w:p>
      <w:pPr>
        <w:pStyle w:val="BodyText"/>
        <w:spacing w:before="1"/>
        <w:ind w:left="120" w:right="5107"/>
      </w:pPr>
      <w:r>
        <w:rPr>
          <w:u w:val="single"/>
        </w:rPr>
        <w:t>Quote 2 (3 yr contract) – 26 cut and mulch basis</w:t>
      </w:r>
      <w:r>
        <w:rPr/>
        <w:t> Year 1</w:t>
      </w:r>
      <w:r>
        <w:rPr>
          <w:spacing w:val="-1"/>
        </w:rPr>
        <w:t> </w:t>
      </w:r>
      <w:r>
        <w:rPr/>
        <w:t>£5500.00</w:t>
      </w:r>
    </w:p>
    <w:p>
      <w:pPr>
        <w:pStyle w:val="BodyText"/>
        <w:spacing w:line="265" w:lineRule="exact"/>
        <w:ind w:left="120"/>
      </w:pPr>
      <w:r>
        <w:rPr/>
        <w:t>Year 2</w:t>
      </w:r>
      <w:r>
        <w:rPr>
          <w:spacing w:val="-2"/>
        </w:rPr>
        <w:t> </w:t>
      </w:r>
      <w:r>
        <w:rPr/>
        <w:t>£5500.00</w:t>
      </w:r>
    </w:p>
    <w:p>
      <w:pPr>
        <w:pStyle w:val="BodyText"/>
        <w:ind w:left="120"/>
      </w:pPr>
      <w:r>
        <w:rPr/>
        <w:t>Year 3</w:t>
      </w:r>
      <w:r>
        <w:rPr>
          <w:spacing w:val="-2"/>
        </w:rPr>
        <w:t> </w:t>
      </w:r>
      <w:r>
        <w:rPr/>
        <w:t>£5500.00</w:t>
      </w:r>
    </w:p>
    <w:p>
      <w:pPr>
        <w:pStyle w:val="BodyText"/>
      </w:pPr>
    </w:p>
    <w:p>
      <w:pPr>
        <w:pStyle w:val="BodyText"/>
        <w:ind w:left="120" w:right="3169"/>
      </w:pPr>
      <w:r>
        <w:rPr>
          <w:u w:val="single"/>
        </w:rPr>
        <w:t>Quote 3 (3 yr contract) – 16 cut and collect and waste disposal basis</w:t>
      </w:r>
      <w:r>
        <w:rPr/>
        <w:t> Year 1</w:t>
      </w:r>
      <w:r>
        <w:rPr>
          <w:spacing w:val="-1"/>
        </w:rPr>
        <w:t> </w:t>
      </w:r>
      <w:r>
        <w:rPr/>
        <w:t>£7000.00</w:t>
      </w:r>
    </w:p>
    <w:p>
      <w:pPr>
        <w:pStyle w:val="BodyText"/>
        <w:ind w:left="120"/>
      </w:pPr>
      <w:r>
        <w:rPr/>
        <w:t>Year 2</w:t>
      </w:r>
      <w:r>
        <w:rPr>
          <w:spacing w:val="-2"/>
        </w:rPr>
        <w:t> </w:t>
      </w:r>
      <w:r>
        <w:rPr/>
        <w:t>£7000.00</w:t>
      </w:r>
    </w:p>
    <w:p>
      <w:pPr>
        <w:pStyle w:val="BodyText"/>
        <w:spacing w:before="1"/>
        <w:ind w:left="120"/>
      </w:pPr>
      <w:r>
        <w:rPr/>
        <w:t>Year 3</w:t>
      </w:r>
      <w:r>
        <w:rPr>
          <w:spacing w:val="-2"/>
        </w:rPr>
        <w:t> </w:t>
      </w:r>
      <w:r>
        <w:rPr/>
        <w:t>£7000.00</w:t>
      </w:r>
    </w:p>
    <w:p>
      <w:pPr>
        <w:pStyle w:val="BodyText"/>
        <w:spacing w:before="11"/>
        <w:rPr>
          <w:sz w:val="21"/>
        </w:rPr>
      </w:pPr>
    </w:p>
    <w:p>
      <w:pPr>
        <w:pStyle w:val="BodyText"/>
        <w:ind w:left="120" w:right="3169"/>
      </w:pPr>
      <w:r>
        <w:rPr>
          <w:u w:val="single"/>
        </w:rPr>
        <w:t>Quote 4 (1 yr contract) – 16 cut and collect and waste disposal basis</w:t>
      </w:r>
      <w:r>
        <w:rPr/>
        <w:t> Year 1 £33,764.68</w:t>
      </w:r>
    </w:p>
    <w:p>
      <w:pPr>
        <w:pStyle w:val="BodyText"/>
        <w:spacing w:before="2"/>
        <w:ind w:left="120"/>
      </w:pPr>
      <w:r>
        <w:rPr>
          <w:b/>
        </w:rPr>
        <w:t>RESOLVED: </w:t>
      </w:r>
      <w:r>
        <w:rPr/>
        <w:t>to select Quote 2 with a 3yr contract deal.</w:t>
      </w:r>
    </w:p>
    <w:p>
      <w:pPr>
        <w:pStyle w:val="BodyText"/>
        <w:spacing w:before="9"/>
        <w:rPr>
          <w:sz w:val="21"/>
        </w:rPr>
      </w:pPr>
    </w:p>
    <w:p>
      <w:pPr>
        <w:pStyle w:val="BodyText"/>
        <w:ind w:left="120" w:right="373"/>
      </w:pPr>
      <w:r>
        <w:rPr/>
        <w:t>The clerk was asked to set up a meeting with SSDC to agree the missed elements of the previous years contract.</w:t>
      </w:r>
    </w:p>
    <w:p>
      <w:pPr>
        <w:pStyle w:val="Heading1"/>
        <w:spacing w:before="1"/>
        <w:ind w:left="6313"/>
      </w:pPr>
      <w:r>
        <w:rPr/>
        <w:t>ACTION: Cllr A Groves and Clerk</w:t>
      </w:r>
    </w:p>
    <w:p>
      <w:pPr>
        <w:spacing w:after="0"/>
        <w:sectPr>
          <w:pgSz w:w="11910" w:h="16840"/>
          <w:pgMar w:header="324" w:footer="758" w:top="1720" w:bottom="940" w:left="960" w:right="960"/>
        </w:sectPr>
      </w:pPr>
    </w:p>
    <w:p>
      <w:pPr>
        <w:pStyle w:val="BodyText"/>
        <w:spacing w:before="2"/>
        <w:rPr>
          <w:b/>
          <w:sz w:val="17"/>
        </w:rPr>
      </w:pPr>
    </w:p>
    <w:p>
      <w:pPr>
        <w:spacing w:before="101"/>
        <w:ind w:left="120" w:right="0" w:firstLine="0"/>
        <w:jc w:val="left"/>
        <w:rPr>
          <w:sz w:val="22"/>
        </w:rPr>
      </w:pPr>
      <w:r>
        <w:rPr>
          <w:b/>
          <w:sz w:val="22"/>
        </w:rPr>
        <w:t>23/13 Finance – </w:t>
      </w:r>
      <w:r>
        <w:rPr>
          <w:sz w:val="22"/>
        </w:rPr>
        <w:t>To agree to purchase a new noticeboard</w:t>
      </w:r>
    </w:p>
    <w:p>
      <w:pPr>
        <w:pStyle w:val="BodyText"/>
        <w:spacing w:line="265" w:lineRule="exact" w:before="1"/>
        <w:ind w:left="120"/>
      </w:pPr>
      <w:r>
        <w:rPr>
          <w:b/>
        </w:rPr>
        <w:t>RESOLVED: </w:t>
      </w:r>
      <w:r>
        <w:rPr/>
        <w:t>To purchase an aluminium replacement noticeboard within the budgeted amount of</w:t>
      </w:r>
    </w:p>
    <w:p>
      <w:pPr>
        <w:pStyle w:val="BodyText"/>
        <w:spacing w:line="265" w:lineRule="exact"/>
        <w:ind w:left="120"/>
      </w:pPr>
      <w:r>
        <w:rPr/>
        <w:t>£1500. Cllr Groves agreed to send the details to the clerk to arrange the order.</w:t>
      </w:r>
    </w:p>
    <w:p>
      <w:pPr>
        <w:pStyle w:val="Heading1"/>
        <w:spacing w:before="1"/>
        <w:ind w:left="6551"/>
      </w:pPr>
      <w:r>
        <w:rPr/>
        <w:t>ACTION: Cllr A Groves &amp; Clerk</w:t>
      </w:r>
    </w:p>
    <w:p>
      <w:pPr>
        <w:pStyle w:val="BodyText"/>
        <w:spacing w:before="11"/>
        <w:rPr>
          <w:b/>
          <w:sz w:val="21"/>
        </w:rPr>
      </w:pPr>
    </w:p>
    <w:p>
      <w:pPr>
        <w:spacing w:before="0"/>
        <w:ind w:left="120" w:right="0" w:firstLine="0"/>
        <w:jc w:val="left"/>
        <w:rPr>
          <w:b/>
          <w:sz w:val="22"/>
        </w:rPr>
      </w:pPr>
      <w:r>
        <w:rPr>
          <w:b/>
          <w:sz w:val="22"/>
        </w:rPr>
        <w:t>23/14 To review and update Ash Parish Council Cemetery Charges</w:t>
      </w:r>
    </w:p>
    <w:p>
      <w:pPr>
        <w:pStyle w:val="BodyText"/>
        <w:spacing w:before="1"/>
        <w:ind w:left="120" w:right="114"/>
      </w:pPr>
      <w:r>
        <w:rPr/>
        <w:t>Cllr Andrew had produced and circulated a table of comparative Cemetery charges for Ash, Martock, Langport, Somerton and South Petherton, with additional options for plot sizes and personal selection. It was agreed that Cllr Andrews should continue to develop the Table of Fees for Ash, to be agreed at a future meeting. Cllr Gray briefed on Cemetery Rules and Regulations, in particular the option of ‘Green’ burials as offered by Wells Cemetery. Cllr Gray agreed to contact Wells Cemetery to better understand how they are managed, as the PC were interested in offering these types of burials in the new Cemetery. Cllr Davey agreed to draft a Cemetery layout for approval.</w:t>
      </w:r>
    </w:p>
    <w:p>
      <w:pPr>
        <w:pStyle w:val="Heading1"/>
        <w:spacing w:line="265" w:lineRule="exact"/>
        <w:ind w:left="5567"/>
      </w:pPr>
      <w:r>
        <w:rPr/>
        <w:t>ACTION: Cllrs Andrew, Gray and Davey</w:t>
      </w:r>
    </w:p>
    <w:p>
      <w:pPr>
        <w:pStyle w:val="BodyText"/>
        <w:spacing w:before="2"/>
        <w:rPr>
          <w:b/>
        </w:rPr>
      </w:pPr>
    </w:p>
    <w:p>
      <w:pPr>
        <w:spacing w:before="0"/>
        <w:ind w:left="972" w:right="234" w:hanging="852"/>
        <w:jc w:val="left"/>
        <w:rPr>
          <w:b/>
          <w:sz w:val="22"/>
        </w:rPr>
      </w:pPr>
      <w:r>
        <w:rPr>
          <w:b/>
          <w:sz w:val="22"/>
        </w:rPr>
        <w:t>23/15 To consider a Draft Cemetery Risk Assessment and appoint Cllr responsibility to update as required</w:t>
      </w:r>
    </w:p>
    <w:p>
      <w:pPr>
        <w:pStyle w:val="BodyText"/>
        <w:spacing w:line="265" w:lineRule="exact"/>
        <w:ind w:left="120"/>
      </w:pPr>
      <w:r>
        <w:rPr/>
        <w:t>Cllr A Groves agreed to look into the Risk Assessment and bring back to the PC for approval.</w:t>
      </w:r>
    </w:p>
    <w:p>
      <w:pPr>
        <w:pStyle w:val="Heading1"/>
        <w:spacing w:before="1"/>
        <w:ind w:left="7602"/>
      </w:pPr>
      <w:r>
        <w:rPr/>
        <w:t>Action: Cllr A Groves</w:t>
      </w:r>
    </w:p>
    <w:p>
      <w:pPr>
        <w:pStyle w:val="BodyText"/>
        <w:spacing w:before="11"/>
        <w:rPr>
          <w:b/>
          <w:sz w:val="21"/>
        </w:rPr>
      </w:pPr>
    </w:p>
    <w:p>
      <w:pPr>
        <w:spacing w:before="0"/>
        <w:ind w:left="972" w:right="234" w:hanging="852"/>
        <w:jc w:val="left"/>
        <w:rPr>
          <w:b/>
          <w:sz w:val="22"/>
        </w:rPr>
      </w:pPr>
      <w:r>
        <w:rPr>
          <w:b/>
          <w:sz w:val="22"/>
        </w:rPr>
        <w:t>23/16 To consider a Draft Recreation Ground Risk Assessment and appoint Cllr responsibility to update as required</w:t>
      </w:r>
    </w:p>
    <w:p>
      <w:pPr>
        <w:pStyle w:val="BodyText"/>
        <w:spacing w:line="265" w:lineRule="exact"/>
        <w:ind w:left="120"/>
      </w:pPr>
      <w:r>
        <w:rPr/>
        <w:t>This was deferred until a Playground Caretaker was appointed.</w:t>
      </w:r>
    </w:p>
    <w:p>
      <w:pPr>
        <w:pStyle w:val="BodyText"/>
        <w:spacing w:before="2"/>
      </w:pPr>
    </w:p>
    <w:p>
      <w:pPr>
        <w:spacing w:line="265" w:lineRule="exact" w:before="0"/>
        <w:ind w:left="120" w:right="0" w:firstLine="0"/>
        <w:jc w:val="left"/>
        <w:rPr>
          <w:sz w:val="22"/>
        </w:rPr>
      </w:pPr>
      <w:r>
        <w:rPr>
          <w:b/>
          <w:sz w:val="22"/>
        </w:rPr>
        <w:t>23/17 Reports – </w:t>
      </w:r>
      <w:r>
        <w:rPr>
          <w:sz w:val="22"/>
        </w:rPr>
        <w:t>To receive reports from:</w:t>
      </w:r>
    </w:p>
    <w:p>
      <w:pPr>
        <w:pStyle w:val="ListParagraph"/>
        <w:numPr>
          <w:ilvl w:val="0"/>
          <w:numId w:val="1"/>
        </w:numPr>
        <w:tabs>
          <w:tab w:pos="548" w:val="left" w:leader="none"/>
        </w:tabs>
        <w:spacing w:line="265" w:lineRule="exact" w:before="0" w:after="0"/>
        <w:ind w:left="547" w:right="0" w:hanging="361"/>
        <w:jc w:val="left"/>
        <w:rPr>
          <w:sz w:val="22"/>
        </w:rPr>
      </w:pPr>
      <w:r>
        <w:rPr>
          <w:sz w:val="22"/>
        </w:rPr>
        <w:t>Parish</w:t>
      </w:r>
      <w:r>
        <w:rPr>
          <w:spacing w:val="-3"/>
          <w:sz w:val="22"/>
        </w:rPr>
        <w:t> </w:t>
      </w:r>
      <w:r>
        <w:rPr>
          <w:sz w:val="22"/>
        </w:rPr>
        <w:t>Councillors</w:t>
      </w:r>
    </w:p>
    <w:p>
      <w:pPr>
        <w:pStyle w:val="BodyText"/>
        <w:spacing w:before="1"/>
        <w:ind w:left="187" w:right="447"/>
      </w:pPr>
      <w:r>
        <w:rPr/>
        <w:t>Cllr A Groves reported that The Bell Inn had been accepted as a Asset of Community Value. She also thanked Cllr Humby for organising the recent CPR training.</w:t>
      </w:r>
    </w:p>
    <w:p>
      <w:pPr>
        <w:pStyle w:val="ListParagraph"/>
        <w:numPr>
          <w:ilvl w:val="0"/>
          <w:numId w:val="1"/>
        </w:numPr>
        <w:tabs>
          <w:tab w:pos="548" w:val="left" w:leader="none"/>
        </w:tabs>
        <w:spacing w:line="265" w:lineRule="exact" w:before="0" w:after="0"/>
        <w:ind w:left="547" w:right="0" w:hanging="361"/>
        <w:jc w:val="left"/>
        <w:rPr>
          <w:sz w:val="22"/>
        </w:rPr>
      </w:pPr>
      <w:r>
        <w:rPr>
          <w:sz w:val="22"/>
        </w:rPr>
        <w:t>Working Groups</w:t>
      </w:r>
    </w:p>
    <w:p>
      <w:pPr>
        <w:pStyle w:val="BodyText"/>
        <w:spacing w:before="1"/>
        <w:ind w:left="120" w:right="564"/>
      </w:pPr>
      <w:r>
        <w:rPr/>
        <w:t>Cllr T Groves had circulated a report from the ABWG and asked for the council to pay special attention to the paper on ‘Biodiversity Net Gain’ and it’s relevance particularly when considering planning applications.</w:t>
      </w:r>
    </w:p>
    <w:p>
      <w:pPr>
        <w:pStyle w:val="BodyText"/>
        <w:spacing w:before="10"/>
        <w:rPr>
          <w:sz w:val="21"/>
        </w:rPr>
      </w:pPr>
    </w:p>
    <w:p>
      <w:pPr>
        <w:pStyle w:val="Heading1"/>
      </w:pPr>
      <w:r>
        <w:rPr/>
        <w:t>23/18 Clerks report and correspondence</w:t>
      </w:r>
    </w:p>
    <w:p>
      <w:pPr>
        <w:pStyle w:val="BodyText"/>
        <w:spacing w:line="265" w:lineRule="exact" w:before="1"/>
        <w:ind w:left="120"/>
      </w:pPr>
      <w:r>
        <w:rPr/>
        <w:t>The following items of correspondence had been sent by email:</w:t>
      </w:r>
    </w:p>
    <w:p>
      <w:pPr>
        <w:pStyle w:val="ListParagraph"/>
        <w:numPr>
          <w:ilvl w:val="1"/>
          <w:numId w:val="1"/>
        </w:numPr>
        <w:tabs>
          <w:tab w:pos="799" w:val="left" w:leader="none"/>
          <w:tab w:pos="800" w:val="left" w:leader="none"/>
        </w:tabs>
        <w:spacing w:line="268" w:lineRule="exact" w:before="0" w:after="0"/>
        <w:ind w:left="799" w:right="0" w:hanging="320"/>
        <w:jc w:val="left"/>
        <w:rPr>
          <w:sz w:val="22"/>
        </w:rPr>
      </w:pPr>
      <w:r>
        <w:rPr>
          <w:sz w:val="22"/>
        </w:rPr>
        <w:t>Repeat order form from Play Inspection</w:t>
      </w:r>
      <w:r>
        <w:rPr>
          <w:spacing w:val="-7"/>
          <w:sz w:val="22"/>
        </w:rPr>
        <w:t> </w:t>
      </w:r>
      <w:r>
        <w:rPr>
          <w:sz w:val="22"/>
        </w:rPr>
        <w:t>Company</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Report from Parish Tree</w:t>
      </w:r>
      <w:r>
        <w:rPr>
          <w:spacing w:val="-10"/>
          <w:sz w:val="22"/>
        </w:rPr>
        <w:t> </w:t>
      </w:r>
      <w:r>
        <w:rPr>
          <w:sz w:val="22"/>
        </w:rPr>
        <w:t>Warden</w:t>
      </w:r>
    </w:p>
    <w:p>
      <w:pPr>
        <w:pStyle w:val="ListParagraph"/>
        <w:numPr>
          <w:ilvl w:val="1"/>
          <w:numId w:val="1"/>
        </w:numPr>
        <w:tabs>
          <w:tab w:pos="799" w:val="left" w:leader="none"/>
          <w:tab w:pos="800" w:val="left" w:leader="none"/>
        </w:tabs>
        <w:spacing w:line="267" w:lineRule="exact" w:before="0" w:after="0"/>
        <w:ind w:left="799" w:right="0" w:hanging="320"/>
        <w:jc w:val="left"/>
        <w:rPr>
          <w:sz w:val="22"/>
        </w:rPr>
      </w:pPr>
      <w:r>
        <w:rPr>
          <w:sz w:val="22"/>
        </w:rPr>
        <w:t>SWP</w:t>
      </w:r>
      <w:r>
        <w:rPr>
          <w:spacing w:val="-1"/>
          <w:sz w:val="22"/>
        </w:rPr>
        <w:t> </w:t>
      </w:r>
      <w:r>
        <w:rPr>
          <w:sz w:val="22"/>
        </w:rPr>
        <w:t>Briefings</w:t>
      </w:r>
    </w:p>
    <w:p>
      <w:pPr>
        <w:pStyle w:val="ListParagraph"/>
        <w:numPr>
          <w:ilvl w:val="1"/>
          <w:numId w:val="1"/>
        </w:numPr>
        <w:tabs>
          <w:tab w:pos="799" w:val="left" w:leader="none"/>
          <w:tab w:pos="800" w:val="left" w:leader="none"/>
        </w:tabs>
        <w:spacing w:line="267" w:lineRule="exact" w:before="0" w:after="0"/>
        <w:ind w:left="799" w:right="0" w:hanging="320"/>
        <w:jc w:val="left"/>
        <w:rPr>
          <w:sz w:val="22"/>
        </w:rPr>
      </w:pPr>
      <w:r>
        <w:rPr>
          <w:sz w:val="22"/>
        </w:rPr>
        <w:t>SSDC - Get SuSSed Newsletter</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SSDC – Members</w:t>
      </w:r>
      <w:r>
        <w:rPr>
          <w:spacing w:val="-1"/>
          <w:sz w:val="22"/>
        </w:rPr>
        <w:t> </w:t>
      </w:r>
      <w:r>
        <w:rPr>
          <w:sz w:val="22"/>
        </w:rPr>
        <w:t>briefings</w:t>
      </w:r>
    </w:p>
    <w:p>
      <w:pPr>
        <w:pStyle w:val="ListParagraph"/>
        <w:numPr>
          <w:ilvl w:val="1"/>
          <w:numId w:val="1"/>
        </w:numPr>
        <w:tabs>
          <w:tab w:pos="799" w:val="left" w:leader="none"/>
          <w:tab w:pos="800" w:val="left" w:leader="none"/>
        </w:tabs>
        <w:spacing w:line="268" w:lineRule="exact" w:before="0" w:after="0"/>
        <w:ind w:left="799" w:right="0" w:hanging="320"/>
        <w:jc w:val="left"/>
        <w:rPr>
          <w:sz w:val="22"/>
        </w:rPr>
      </w:pPr>
      <w:r>
        <w:rPr>
          <w:sz w:val="22"/>
        </w:rPr>
        <w:t>SC – Waste Services</w:t>
      </w:r>
      <w:r>
        <w:rPr>
          <w:spacing w:val="-1"/>
          <w:sz w:val="22"/>
        </w:rPr>
        <w:t> </w:t>
      </w:r>
      <w:r>
        <w:rPr>
          <w:sz w:val="22"/>
        </w:rPr>
        <w:t>briefings</w:t>
      </w:r>
    </w:p>
    <w:p>
      <w:pPr>
        <w:pStyle w:val="ListParagraph"/>
        <w:numPr>
          <w:ilvl w:val="1"/>
          <w:numId w:val="1"/>
        </w:numPr>
        <w:tabs>
          <w:tab w:pos="799" w:val="left" w:leader="none"/>
          <w:tab w:pos="800" w:val="left" w:leader="none"/>
        </w:tabs>
        <w:spacing w:line="268" w:lineRule="exact" w:before="0" w:after="0"/>
        <w:ind w:left="799" w:right="0" w:hanging="320"/>
        <w:jc w:val="left"/>
        <w:rPr>
          <w:sz w:val="22"/>
        </w:rPr>
      </w:pPr>
      <w:r>
        <w:rPr>
          <w:sz w:val="22"/>
        </w:rPr>
        <w:t>SC – Local Government</w:t>
      </w:r>
      <w:r>
        <w:rPr>
          <w:spacing w:val="-3"/>
          <w:sz w:val="22"/>
        </w:rPr>
        <w:t> </w:t>
      </w:r>
      <w:r>
        <w:rPr>
          <w:sz w:val="22"/>
        </w:rPr>
        <w:t>Reorganisation</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SALC</w:t>
      </w:r>
      <w:r>
        <w:rPr>
          <w:spacing w:val="-1"/>
          <w:sz w:val="22"/>
        </w:rPr>
        <w:t> </w:t>
      </w:r>
      <w:r>
        <w:rPr>
          <w:sz w:val="22"/>
        </w:rPr>
        <w:t>Newsletters</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Dorset &amp; Somerset Air Ambulance Coast to Coast annual cycle</w:t>
      </w:r>
      <w:r>
        <w:rPr>
          <w:spacing w:val="-10"/>
          <w:sz w:val="22"/>
        </w:rPr>
        <w:t> </w:t>
      </w:r>
      <w:r>
        <w:rPr>
          <w:sz w:val="22"/>
        </w:rPr>
        <w:t>ride</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LGR Working</w:t>
      </w:r>
      <w:r>
        <w:rPr>
          <w:spacing w:val="-2"/>
          <w:sz w:val="22"/>
        </w:rPr>
        <w:t> </w:t>
      </w:r>
      <w:r>
        <w:rPr>
          <w:sz w:val="22"/>
        </w:rPr>
        <w:t>Group</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Somerset Wildlife Trust – Wilder</w:t>
      </w:r>
      <w:r>
        <w:rPr>
          <w:spacing w:val="-5"/>
          <w:sz w:val="22"/>
        </w:rPr>
        <w:t> </w:t>
      </w:r>
      <w:r>
        <w:rPr>
          <w:sz w:val="22"/>
        </w:rPr>
        <w:t>Churches</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SC – Tourism</w:t>
      </w:r>
      <w:r>
        <w:rPr>
          <w:spacing w:val="-5"/>
          <w:sz w:val="22"/>
        </w:rPr>
        <w:t> </w:t>
      </w:r>
      <w:r>
        <w:rPr>
          <w:sz w:val="22"/>
        </w:rPr>
        <w:t>Showcase</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Football Foundation – Grass pitch maintenance</w:t>
      </w:r>
      <w:r>
        <w:rPr>
          <w:spacing w:val="-5"/>
          <w:sz w:val="22"/>
        </w:rPr>
        <w:t> </w:t>
      </w:r>
      <w:r>
        <w:rPr>
          <w:sz w:val="22"/>
        </w:rPr>
        <w:t>fund</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SC – Grants and resources for businesses</w:t>
      </w:r>
    </w:p>
    <w:p>
      <w:pPr>
        <w:pStyle w:val="ListParagraph"/>
        <w:numPr>
          <w:ilvl w:val="1"/>
          <w:numId w:val="1"/>
        </w:numPr>
        <w:tabs>
          <w:tab w:pos="799" w:val="left" w:leader="none"/>
          <w:tab w:pos="800" w:val="left" w:leader="none"/>
        </w:tabs>
        <w:spacing w:line="268" w:lineRule="exact" w:before="0" w:after="0"/>
        <w:ind w:left="799" w:right="0" w:hanging="320"/>
        <w:jc w:val="left"/>
        <w:rPr>
          <w:sz w:val="22"/>
        </w:rPr>
      </w:pPr>
      <w:r>
        <w:rPr>
          <w:sz w:val="22"/>
        </w:rPr>
        <w:t>SC – Bin</w:t>
      </w:r>
      <w:r>
        <w:rPr>
          <w:spacing w:val="-3"/>
          <w:sz w:val="22"/>
        </w:rPr>
        <w:t> </w:t>
      </w:r>
      <w:r>
        <w:rPr>
          <w:sz w:val="22"/>
        </w:rPr>
        <w:t>review</w:t>
      </w:r>
    </w:p>
    <w:p>
      <w:pPr>
        <w:spacing w:after="0" w:line="268" w:lineRule="exact"/>
        <w:jc w:val="left"/>
        <w:rPr>
          <w:sz w:val="22"/>
        </w:rPr>
        <w:sectPr>
          <w:pgSz w:w="11910" w:h="16840"/>
          <w:pgMar w:header="324" w:footer="758" w:top="1720" w:bottom="940" w:left="960" w:right="960"/>
        </w:sectPr>
      </w:pPr>
    </w:p>
    <w:p>
      <w:pPr>
        <w:pStyle w:val="BodyText"/>
        <w:spacing w:before="1"/>
        <w:rPr>
          <w:sz w:val="17"/>
        </w:rPr>
      </w:pPr>
    </w:p>
    <w:p>
      <w:pPr>
        <w:pStyle w:val="ListParagraph"/>
        <w:numPr>
          <w:ilvl w:val="1"/>
          <w:numId w:val="1"/>
        </w:numPr>
        <w:tabs>
          <w:tab w:pos="799" w:val="left" w:leader="none"/>
          <w:tab w:pos="800" w:val="left" w:leader="none"/>
        </w:tabs>
        <w:spacing w:line="269" w:lineRule="exact" w:before="101" w:after="0"/>
        <w:ind w:left="799" w:right="0" w:hanging="320"/>
        <w:jc w:val="left"/>
        <w:rPr>
          <w:sz w:val="22"/>
        </w:rPr>
      </w:pPr>
      <w:r>
        <w:rPr>
          <w:sz w:val="22"/>
        </w:rPr>
        <w:t>SC – Yeovil Recreation Centre</w:t>
      </w:r>
      <w:r>
        <w:rPr>
          <w:spacing w:val="-3"/>
          <w:sz w:val="22"/>
        </w:rPr>
        <w:t> </w:t>
      </w:r>
      <w:r>
        <w:rPr>
          <w:sz w:val="22"/>
        </w:rPr>
        <w:t>showcase</w:t>
      </w:r>
    </w:p>
    <w:p>
      <w:pPr>
        <w:pStyle w:val="ListParagraph"/>
        <w:numPr>
          <w:ilvl w:val="1"/>
          <w:numId w:val="1"/>
        </w:numPr>
        <w:tabs>
          <w:tab w:pos="799" w:val="left" w:leader="none"/>
          <w:tab w:pos="800" w:val="left" w:leader="none"/>
        </w:tabs>
        <w:spacing w:line="268" w:lineRule="exact" w:before="0" w:after="0"/>
        <w:ind w:left="799" w:right="0" w:hanging="320"/>
        <w:jc w:val="left"/>
        <w:rPr>
          <w:sz w:val="22"/>
        </w:rPr>
      </w:pPr>
      <w:r>
        <w:rPr>
          <w:sz w:val="22"/>
        </w:rPr>
        <w:t>Somerset sight volunteer</w:t>
      </w:r>
      <w:r>
        <w:rPr>
          <w:spacing w:val="-5"/>
          <w:sz w:val="22"/>
        </w:rPr>
        <w:t> </w:t>
      </w:r>
      <w:r>
        <w:rPr>
          <w:sz w:val="22"/>
        </w:rPr>
        <w:t>recruitment</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SC – Domestic abuse</w:t>
      </w:r>
      <w:r>
        <w:rPr>
          <w:spacing w:val="-3"/>
          <w:sz w:val="22"/>
        </w:rPr>
        <w:t> </w:t>
      </w:r>
      <w:r>
        <w:rPr>
          <w:sz w:val="22"/>
        </w:rPr>
        <w:t>support</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SC – Think Travel website</w:t>
      </w:r>
      <w:r>
        <w:rPr>
          <w:spacing w:val="-4"/>
          <w:sz w:val="22"/>
        </w:rPr>
        <w:t> </w:t>
      </w:r>
      <w:r>
        <w:rPr>
          <w:sz w:val="22"/>
        </w:rPr>
        <w:t>launch</w:t>
      </w:r>
    </w:p>
    <w:p>
      <w:pPr>
        <w:pStyle w:val="ListParagraph"/>
        <w:numPr>
          <w:ilvl w:val="1"/>
          <w:numId w:val="1"/>
        </w:numPr>
        <w:tabs>
          <w:tab w:pos="799" w:val="left" w:leader="none"/>
          <w:tab w:pos="800" w:val="left" w:leader="none"/>
        </w:tabs>
        <w:spacing w:line="266" w:lineRule="exact" w:before="0" w:after="0"/>
        <w:ind w:left="799" w:right="0" w:hanging="320"/>
        <w:jc w:val="left"/>
        <w:rPr>
          <w:sz w:val="22"/>
        </w:rPr>
      </w:pPr>
      <w:r>
        <w:rPr>
          <w:sz w:val="22"/>
        </w:rPr>
        <w:t>SSDC – reflect on</w:t>
      </w:r>
      <w:r>
        <w:rPr>
          <w:spacing w:val="-1"/>
          <w:sz w:val="22"/>
        </w:rPr>
        <w:t> </w:t>
      </w:r>
      <w:r>
        <w:rPr>
          <w:sz w:val="22"/>
        </w:rPr>
        <w:t>Ukraine</w:t>
      </w:r>
    </w:p>
    <w:p>
      <w:pPr>
        <w:pStyle w:val="ListParagraph"/>
        <w:numPr>
          <w:ilvl w:val="1"/>
          <w:numId w:val="1"/>
        </w:numPr>
        <w:tabs>
          <w:tab w:pos="799" w:val="left" w:leader="none"/>
          <w:tab w:pos="800" w:val="left" w:leader="none"/>
        </w:tabs>
        <w:spacing w:line="268" w:lineRule="exact" w:before="0" w:after="0"/>
        <w:ind w:left="799" w:right="0" w:hanging="320"/>
        <w:jc w:val="left"/>
        <w:rPr>
          <w:sz w:val="22"/>
        </w:rPr>
      </w:pPr>
      <w:r>
        <w:rPr>
          <w:sz w:val="22"/>
        </w:rPr>
        <w:t>SALC – Emergency Alert</w:t>
      </w:r>
      <w:r>
        <w:rPr>
          <w:spacing w:val="-5"/>
          <w:sz w:val="22"/>
        </w:rPr>
        <w:t> </w:t>
      </w:r>
      <w:r>
        <w:rPr>
          <w:sz w:val="22"/>
        </w:rPr>
        <w:t>System</w:t>
      </w:r>
    </w:p>
    <w:p>
      <w:pPr>
        <w:pStyle w:val="BodyText"/>
        <w:spacing w:before="8"/>
        <w:rPr>
          <w:sz w:val="21"/>
        </w:rPr>
      </w:pPr>
    </w:p>
    <w:p>
      <w:pPr>
        <w:pStyle w:val="Heading1"/>
        <w:spacing w:before="1"/>
      </w:pPr>
      <w:r>
        <w:rPr/>
        <w:t>23/19 Items for the next agenda</w:t>
      </w:r>
    </w:p>
    <w:p>
      <w:pPr>
        <w:pStyle w:val="BodyText"/>
        <w:ind w:left="120"/>
      </w:pPr>
      <w:r>
        <w:rPr/>
        <w:t>There was nothing identified at this time.</w:t>
      </w:r>
    </w:p>
    <w:p>
      <w:pPr>
        <w:pStyle w:val="BodyText"/>
      </w:pPr>
    </w:p>
    <w:p>
      <w:pPr>
        <w:spacing w:before="0"/>
        <w:ind w:left="972" w:right="859" w:hanging="852"/>
        <w:jc w:val="left"/>
        <w:rPr>
          <w:sz w:val="22"/>
        </w:rPr>
      </w:pPr>
      <w:r>
        <w:rPr>
          <w:b/>
          <w:sz w:val="22"/>
        </w:rPr>
        <w:t>23/20 Date of next meeting – </w:t>
      </w:r>
      <w:r>
        <w:rPr>
          <w:sz w:val="22"/>
        </w:rPr>
        <w:t>8</w:t>
      </w:r>
      <w:r>
        <w:rPr>
          <w:position w:val="8"/>
          <w:sz w:val="14"/>
        </w:rPr>
        <w:t>th </w:t>
      </w:r>
      <w:r>
        <w:rPr>
          <w:sz w:val="22"/>
        </w:rPr>
        <w:t>May 2023 (Cllrs to note - All agenda items to be notified to the Parish Clerk by Wed 26</w:t>
      </w:r>
      <w:r>
        <w:rPr>
          <w:position w:val="8"/>
          <w:sz w:val="14"/>
        </w:rPr>
        <w:t>th </w:t>
      </w:r>
      <w:r>
        <w:rPr>
          <w:sz w:val="22"/>
        </w:rPr>
        <w:t>April 2023)</w:t>
      </w:r>
    </w:p>
    <w:p>
      <w:pPr>
        <w:pStyle w:val="BodyText"/>
      </w:pPr>
    </w:p>
    <w:p>
      <w:pPr>
        <w:pStyle w:val="Heading1"/>
        <w:spacing w:before="1"/>
      </w:pPr>
      <w:r>
        <w:rPr/>
        <w:t>23/21 Exempt Session – Exclusion of the Press &amp; Public</w:t>
      </w:r>
    </w:p>
    <w:p>
      <w:pPr>
        <w:spacing w:before="1"/>
        <w:ind w:left="972" w:right="66" w:firstLine="0"/>
        <w:jc w:val="left"/>
        <w:rPr>
          <w:sz w:val="20"/>
        </w:rPr>
      </w:pPr>
      <w:r>
        <w:rPr>
          <w:sz w:val="20"/>
        </w:rPr>
        <w:t>The Council is recommended to resolve that under section 1, paragraph 2 of The Public Bodies (admission to meetings) Act 1960, the press and public be excluded from the meeting for the following items of business because publicity would be prejudicial to the public interest by reason of the confidential nature of the business to be transacted.</w:t>
      </w:r>
    </w:p>
    <w:p>
      <w:pPr>
        <w:pStyle w:val="BodyText"/>
        <w:spacing w:before="11"/>
        <w:rPr>
          <w:sz w:val="19"/>
        </w:rPr>
      </w:pPr>
    </w:p>
    <w:p>
      <w:pPr>
        <w:pStyle w:val="BodyText"/>
        <w:spacing w:before="1"/>
        <w:ind w:left="120"/>
      </w:pPr>
      <w:r>
        <w:rPr/>
        <w:t>The following 2 items were considered together:</w:t>
      </w:r>
    </w:p>
    <w:p>
      <w:pPr>
        <w:pStyle w:val="BodyText"/>
        <w:spacing w:before="11"/>
        <w:rPr>
          <w:sz w:val="21"/>
        </w:rPr>
      </w:pPr>
    </w:p>
    <w:p>
      <w:pPr>
        <w:pStyle w:val="Heading1"/>
        <w:ind w:left="972" w:right="164" w:hanging="852"/>
      </w:pPr>
      <w:r>
        <w:rPr/>
        <w:t>23/22 To consider employing a Cemetery Caretaker including responsibilities for memorial inspections (NAMM training required) and agree terms and conditions of employment</w:t>
      </w:r>
    </w:p>
    <w:p>
      <w:pPr>
        <w:pStyle w:val="BodyText"/>
        <w:spacing w:before="1"/>
        <w:rPr>
          <w:b/>
        </w:rPr>
      </w:pPr>
    </w:p>
    <w:p>
      <w:pPr>
        <w:spacing w:before="0"/>
        <w:ind w:left="972" w:right="450" w:hanging="852"/>
        <w:jc w:val="left"/>
        <w:rPr>
          <w:b/>
          <w:sz w:val="22"/>
        </w:rPr>
      </w:pPr>
      <w:r>
        <w:rPr>
          <w:b/>
          <w:sz w:val="22"/>
        </w:rPr>
        <w:t>23/23 To consider employing a Playground Caretaker including responsibilities for playground inspections (training required) and agree terms and conditions of employment</w:t>
      </w:r>
    </w:p>
    <w:p>
      <w:pPr>
        <w:pStyle w:val="BodyText"/>
        <w:ind w:left="120" w:right="115"/>
        <w:jc w:val="both"/>
      </w:pPr>
      <w:r>
        <w:rPr/>
        <w:t>The</w:t>
      </w:r>
      <w:r>
        <w:rPr>
          <w:spacing w:val="-8"/>
        </w:rPr>
        <w:t> </w:t>
      </w:r>
      <w:r>
        <w:rPr/>
        <w:t>clerk</w:t>
      </w:r>
      <w:r>
        <w:rPr>
          <w:spacing w:val="-6"/>
        </w:rPr>
        <w:t> </w:t>
      </w:r>
      <w:r>
        <w:rPr/>
        <w:t>was</w:t>
      </w:r>
      <w:r>
        <w:rPr>
          <w:spacing w:val="-9"/>
        </w:rPr>
        <w:t> </w:t>
      </w:r>
      <w:r>
        <w:rPr/>
        <w:t>asked</w:t>
      </w:r>
      <w:r>
        <w:rPr>
          <w:spacing w:val="-8"/>
        </w:rPr>
        <w:t> </w:t>
      </w:r>
      <w:r>
        <w:rPr/>
        <w:t>to</w:t>
      </w:r>
      <w:r>
        <w:rPr>
          <w:spacing w:val="-8"/>
        </w:rPr>
        <w:t> </w:t>
      </w:r>
      <w:r>
        <w:rPr/>
        <w:t>contact</w:t>
      </w:r>
      <w:r>
        <w:rPr>
          <w:spacing w:val="-6"/>
        </w:rPr>
        <w:t> </w:t>
      </w:r>
      <w:r>
        <w:rPr/>
        <w:t>the</w:t>
      </w:r>
      <w:r>
        <w:rPr>
          <w:spacing w:val="-10"/>
        </w:rPr>
        <w:t> </w:t>
      </w:r>
      <w:r>
        <w:rPr/>
        <w:t>PC</w:t>
      </w:r>
      <w:r>
        <w:rPr>
          <w:spacing w:val="-10"/>
        </w:rPr>
        <w:t> </w:t>
      </w:r>
      <w:r>
        <w:rPr/>
        <w:t>insurance</w:t>
      </w:r>
      <w:r>
        <w:rPr>
          <w:spacing w:val="-8"/>
        </w:rPr>
        <w:t> </w:t>
      </w:r>
      <w:r>
        <w:rPr/>
        <w:t>to</w:t>
      </w:r>
      <w:r>
        <w:rPr>
          <w:spacing w:val="-6"/>
        </w:rPr>
        <w:t> </w:t>
      </w:r>
      <w:r>
        <w:rPr/>
        <w:t>understand</w:t>
      </w:r>
      <w:r>
        <w:rPr>
          <w:spacing w:val="-9"/>
        </w:rPr>
        <w:t> </w:t>
      </w:r>
      <w:r>
        <w:rPr/>
        <w:t>if</w:t>
      </w:r>
      <w:r>
        <w:rPr>
          <w:spacing w:val="-10"/>
        </w:rPr>
        <w:t> </w:t>
      </w:r>
      <w:r>
        <w:rPr/>
        <w:t>they</w:t>
      </w:r>
      <w:r>
        <w:rPr>
          <w:spacing w:val="-8"/>
        </w:rPr>
        <w:t> </w:t>
      </w:r>
      <w:r>
        <w:rPr/>
        <w:t>would</w:t>
      </w:r>
      <w:r>
        <w:rPr>
          <w:spacing w:val="-6"/>
        </w:rPr>
        <w:t> </w:t>
      </w:r>
      <w:r>
        <w:rPr/>
        <w:t>cover</w:t>
      </w:r>
      <w:r>
        <w:rPr>
          <w:spacing w:val="-9"/>
        </w:rPr>
        <w:t> </w:t>
      </w:r>
      <w:r>
        <w:rPr/>
        <w:t>contractors</w:t>
      </w:r>
      <w:r>
        <w:rPr>
          <w:spacing w:val="-8"/>
        </w:rPr>
        <w:t> </w:t>
      </w:r>
      <w:r>
        <w:rPr/>
        <w:t>Public Liability, up to a maximum of 4 persons, working for the PC within the parish on a self-employed basis.</w:t>
      </w:r>
    </w:p>
    <w:p>
      <w:pPr>
        <w:pStyle w:val="Heading1"/>
        <w:spacing w:line="264" w:lineRule="exact"/>
        <w:ind w:left="0" w:right="112"/>
        <w:jc w:val="right"/>
      </w:pPr>
      <w:r>
        <w:rPr/>
        <w:t>ACTION: Parish Clerk</w:t>
      </w:r>
    </w:p>
    <w:p>
      <w:pPr>
        <w:pStyle w:val="BodyText"/>
        <w:rPr>
          <w:b/>
          <w:sz w:val="20"/>
        </w:rPr>
      </w:pPr>
    </w:p>
    <w:p>
      <w:pPr>
        <w:spacing w:before="225"/>
        <w:ind w:left="120" w:right="0" w:firstLine="0"/>
        <w:jc w:val="left"/>
        <w:rPr>
          <w:b/>
          <w:sz w:val="22"/>
        </w:rPr>
      </w:pPr>
      <w:r>
        <w:rPr>
          <w:b/>
          <w:sz w:val="22"/>
        </w:rPr>
        <w:t>21:20 - Meeting closed</w:t>
      </w:r>
    </w:p>
    <w:sectPr>
      <w:pgSz w:w="11910" w:h="16840"/>
      <w:pgMar w:header="324" w:footer="758" w:top="1720" w:bottom="940" w:left="96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555.599976pt;margin-top:814.320007pt;width:25.44pt;height:3.72pt;mso-position-horizontal-relative:page;mso-position-vertical-relative:page;z-index:-16307712" filled="true" fillcolor="#a4a4a4" stroked="false">
          <v:fill type="solid"/>
          <w10:wrap type="none"/>
        </v:rect>
      </w:pict>
    </w:r>
    <w:r>
      <w:rPr/>
      <w:pict>
        <v:rect style="position:absolute;margin-left:555.599976pt;margin-top:794.015991pt;width:25.44pt;height:1.44pt;mso-position-horizontal-relative:page;mso-position-vertical-relative:page;z-index:-16307200" filled="true" fillcolor="#a4a4a4" stroked="false">
          <v:fill type="solid"/>
          <w10:wrap type="none"/>
        </v:rect>
      </w:pict>
    </w:r>
    <w:r>
      <w:rPr/>
      <w:pict>
        <v:shape style="position:absolute;margin-left:561.479980pt;margin-top:795.433105pt;width:13.7pt;height:18.95pt;mso-position-horizontal-relative:page;mso-position-vertical-relative:page;z-index:-16306688" type="#_x0000_t202" filled="false" stroked="false">
          <v:textbox inset="0,0,0,0">
            <w:txbxContent>
              <w:p>
                <w:pPr>
                  <w:spacing w:before="21"/>
                  <w:ind w:left="60" w:right="0" w:firstLine="0"/>
                  <w:jc w:val="left"/>
                  <w:rPr>
                    <w:sz w:val="28"/>
                  </w:rPr>
                </w:pPr>
                <w:r>
                  <w:rPr/>
                  <w:fldChar w:fldCharType="begin"/>
                </w:r>
                <w:r>
                  <w:rPr>
                    <w:w w:val="100"/>
                    <w:sz w:val="28"/>
                  </w:rPr>
                  <w:instrText> PAGE </w:instrText>
                </w:r>
                <w:r>
                  <w:rPr/>
                  <w:fldChar w:fldCharType="separate"/>
                </w:r>
                <w:r>
                  <w:rPr/>
                  <w:t>1</w:t>
                </w:r>
                <w:r>
                  <w:rPr/>
                  <w:fldChar w:fldCharType="end"/>
                </w:r>
              </w:p>
            </w:txbxContent>
          </v:textbox>
          <w10:wrap type="none"/>
        </v:shape>
      </w:pict>
    </w:r>
    <w:r>
      <w:rPr/>
      <w:pict>
        <v:shape style="position:absolute;margin-left:53.023998pt;margin-top:800.234619pt;width:117.9pt;height:28.65pt;mso-position-horizontal-relative:page;mso-position-vertical-relative:page;z-index:-16306176" type="#_x0000_t202" filled="false" stroked="false">
          <v:textbox inset="0,0,0,0">
            <w:txbxContent>
              <w:p>
                <w:pPr>
                  <w:pStyle w:val="BodyText"/>
                  <w:spacing w:before="21"/>
                  <w:ind w:left="20"/>
                </w:pPr>
                <w:r>
                  <w:rPr/>
                  <w:t>-----------------------------</w:t>
                </w:r>
              </w:p>
              <w:p>
                <w:pPr>
                  <w:pStyle w:val="BodyText"/>
                  <w:ind w:left="20"/>
                </w:pPr>
                <w:r>
                  <w:rPr/>
                  <w:t>Chairman</w:t>
                </w:r>
              </w:p>
            </w:txbxContent>
          </v:textbox>
          <w10:wrap type="none"/>
        </v:shape>
      </w:pict>
    </w:r>
    <w:r>
      <w:rPr/>
      <w:pict>
        <v:shape style="position:absolute;margin-left:236.889999pt;margin-top:800.234619pt;width:106.75pt;height:28.65pt;mso-position-horizontal-relative:page;mso-position-vertical-relative:page;z-index:-16305664" type="#_x0000_t202" filled="false" stroked="false">
          <v:textbox inset="0,0,0,0">
            <w:txbxContent>
              <w:p>
                <w:pPr>
                  <w:pStyle w:val="BodyText"/>
                  <w:spacing w:before="21"/>
                  <w:ind w:left="36"/>
                </w:pPr>
                <w:r>
                  <w:rPr/>
                  <w:t>--------------------------</w:t>
                </w:r>
              </w:p>
              <w:p>
                <w:pPr>
                  <w:pStyle w:val="BodyText"/>
                  <w:ind w:left="20"/>
                </w:pPr>
                <w:r>
                  <w:rPr/>
                  <w:t>Date</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05.699997pt;margin-top:15.193128pt;width:383.85pt;height:72.45pt;mso-position-horizontal-relative:page;mso-position-vertical-relative:page;z-index:-16308224" type="#_x0000_t202" filled="false" stroked="false">
          <v:textbox inset="0,0,0,0">
            <w:txbxContent>
              <w:p>
                <w:pPr>
                  <w:spacing w:before="21"/>
                  <w:ind w:left="33" w:right="27" w:firstLine="0"/>
                  <w:jc w:val="center"/>
                  <w:rPr>
                    <w:b/>
                    <w:sz w:val="28"/>
                  </w:rPr>
                </w:pPr>
                <w:r>
                  <w:rPr>
                    <w:b/>
                    <w:color w:val="365F91"/>
                    <w:sz w:val="28"/>
                  </w:rPr>
                  <w:t>ASH PARISH COUNCIL</w:t>
                </w:r>
              </w:p>
              <w:p>
                <w:pPr>
                  <w:pStyle w:val="BodyText"/>
                  <w:spacing w:before="91"/>
                  <w:ind w:left="33" w:right="33"/>
                  <w:jc w:val="center"/>
                </w:pPr>
                <w:r>
                  <w:rPr>
                    <w:b/>
                    <w:color w:val="365F91"/>
                  </w:rPr>
                  <w:t>Clerk</w:t>
                </w:r>
                <w:r>
                  <w:rPr>
                    <w:color w:val="365F91"/>
                  </w:rPr>
                  <w:t>: Julie Ferguson. Chilthorne Knapp, Chilthorne Domer, Yeovil, BA22 8QZ</w:t>
                </w:r>
              </w:p>
              <w:p>
                <w:pPr>
                  <w:pStyle w:val="BodyText"/>
                  <w:spacing w:before="78"/>
                  <w:ind w:left="33" w:right="29"/>
                  <w:jc w:val="center"/>
                </w:pPr>
                <w:r>
                  <w:rPr>
                    <w:b/>
                    <w:color w:val="365F91"/>
                  </w:rPr>
                  <w:t>Tel</w:t>
                </w:r>
                <w:r>
                  <w:rPr>
                    <w:color w:val="365F91"/>
                  </w:rPr>
                  <w:t>: 07783 475200</w:t>
                </w:r>
              </w:p>
              <w:p>
                <w:pPr>
                  <w:spacing w:before="79"/>
                  <w:ind w:left="33" w:right="32" w:firstLine="0"/>
                  <w:jc w:val="center"/>
                  <w:rPr>
                    <w:sz w:val="24"/>
                  </w:rPr>
                </w:pPr>
                <w:r>
                  <w:rPr>
                    <w:b/>
                    <w:color w:val="365F91"/>
                    <w:sz w:val="24"/>
                  </w:rPr>
                  <w:t>E-mail</w:t>
                </w:r>
                <w:r>
                  <w:rPr>
                    <w:color w:val="365F91"/>
                    <w:sz w:val="24"/>
                  </w:rPr>
                  <w:t>: </w:t>
                </w:r>
                <w:hyperlink r:id="rId1">
                  <w:r>
                    <w:rPr>
                      <w:color w:val="0000FF"/>
                      <w:sz w:val="24"/>
                      <w:u w:val="single" w:color="0000FF"/>
                    </w:rPr>
                    <w:t>clerk@ashpcsomerset.com</w:t>
                  </w:r>
                </w:hyperlink>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547" w:hanging="360"/>
        <w:jc w:val="left"/>
      </w:pPr>
      <w:rPr>
        <w:rFonts w:hint="default" w:ascii="Tahoma" w:hAnsi="Tahoma" w:eastAsia="Tahoma" w:cs="Tahoma"/>
        <w:spacing w:val="-1"/>
        <w:w w:val="100"/>
        <w:sz w:val="22"/>
        <w:szCs w:val="22"/>
        <w:lang w:val="en-US" w:eastAsia="en-US" w:bidi="ar-SA"/>
      </w:rPr>
    </w:lvl>
    <w:lvl w:ilvl="1">
      <w:start w:val="0"/>
      <w:numFmt w:val="bullet"/>
      <w:lvlText w:val=""/>
      <w:lvlJc w:val="left"/>
      <w:pPr>
        <w:ind w:left="799" w:hanging="320"/>
      </w:pPr>
      <w:rPr>
        <w:rFonts w:hint="default" w:ascii="Symbol" w:hAnsi="Symbol" w:eastAsia="Symbol" w:cs="Symbol"/>
        <w:w w:val="100"/>
        <w:sz w:val="22"/>
        <w:szCs w:val="22"/>
        <w:lang w:val="en-US" w:eastAsia="en-US" w:bidi="ar-SA"/>
      </w:rPr>
    </w:lvl>
    <w:lvl w:ilvl="2">
      <w:start w:val="0"/>
      <w:numFmt w:val="bullet"/>
      <w:lvlText w:val="•"/>
      <w:lvlJc w:val="left"/>
      <w:pPr>
        <w:ind w:left="1820" w:hanging="320"/>
      </w:pPr>
      <w:rPr>
        <w:rFonts w:hint="default"/>
        <w:lang w:val="en-US" w:eastAsia="en-US" w:bidi="ar-SA"/>
      </w:rPr>
    </w:lvl>
    <w:lvl w:ilvl="3">
      <w:start w:val="0"/>
      <w:numFmt w:val="bullet"/>
      <w:lvlText w:val="•"/>
      <w:lvlJc w:val="left"/>
      <w:pPr>
        <w:ind w:left="2841" w:hanging="320"/>
      </w:pPr>
      <w:rPr>
        <w:rFonts w:hint="default"/>
        <w:lang w:val="en-US" w:eastAsia="en-US" w:bidi="ar-SA"/>
      </w:rPr>
    </w:lvl>
    <w:lvl w:ilvl="4">
      <w:start w:val="0"/>
      <w:numFmt w:val="bullet"/>
      <w:lvlText w:val="•"/>
      <w:lvlJc w:val="left"/>
      <w:pPr>
        <w:ind w:left="3862" w:hanging="320"/>
      </w:pPr>
      <w:rPr>
        <w:rFonts w:hint="default"/>
        <w:lang w:val="en-US" w:eastAsia="en-US" w:bidi="ar-SA"/>
      </w:rPr>
    </w:lvl>
    <w:lvl w:ilvl="5">
      <w:start w:val="0"/>
      <w:numFmt w:val="bullet"/>
      <w:lvlText w:val="•"/>
      <w:lvlJc w:val="left"/>
      <w:pPr>
        <w:ind w:left="4882" w:hanging="320"/>
      </w:pPr>
      <w:rPr>
        <w:rFonts w:hint="default"/>
        <w:lang w:val="en-US" w:eastAsia="en-US" w:bidi="ar-SA"/>
      </w:rPr>
    </w:lvl>
    <w:lvl w:ilvl="6">
      <w:start w:val="0"/>
      <w:numFmt w:val="bullet"/>
      <w:lvlText w:val="•"/>
      <w:lvlJc w:val="left"/>
      <w:pPr>
        <w:ind w:left="5903" w:hanging="320"/>
      </w:pPr>
      <w:rPr>
        <w:rFonts w:hint="default"/>
        <w:lang w:val="en-US" w:eastAsia="en-US" w:bidi="ar-SA"/>
      </w:rPr>
    </w:lvl>
    <w:lvl w:ilvl="7">
      <w:start w:val="0"/>
      <w:numFmt w:val="bullet"/>
      <w:lvlText w:val="•"/>
      <w:lvlJc w:val="left"/>
      <w:pPr>
        <w:ind w:left="6924" w:hanging="320"/>
      </w:pPr>
      <w:rPr>
        <w:rFonts w:hint="default"/>
        <w:lang w:val="en-US" w:eastAsia="en-US" w:bidi="ar-SA"/>
      </w:rPr>
    </w:lvl>
    <w:lvl w:ilvl="8">
      <w:start w:val="0"/>
      <w:numFmt w:val="bullet"/>
      <w:lvlText w:val="•"/>
      <w:lvlJc w:val="left"/>
      <w:pPr>
        <w:ind w:left="7944" w:hanging="3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BodyText" w:type="paragraph">
    <w:name w:val="Body Text"/>
    <w:basedOn w:val="Normal"/>
    <w:uiPriority w:val="1"/>
    <w:qFormat/>
    <w:pPr/>
    <w:rPr>
      <w:rFonts w:ascii="Tahoma" w:hAnsi="Tahoma" w:eastAsia="Tahoma" w:cs="Tahoma"/>
      <w:sz w:val="22"/>
      <w:szCs w:val="22"/>
      <w:lang w:val="en-US" w:eastAsia="en-US" w:bidi="ar-SA"/>
    </w:rPr>
  </w:style>
  <w:style w:styleId="Heading1" w:type="paragraph">
    <w:name w:val="Heading 1"/>
    <w:basedOn w:val="Normal"/>
    <w:uiPriority w:val="1"/>
    <w:qFormat/>
    <w:pPr>
      <w:ind w:left="120"/>
      <w:outlineLvl w:val="1"/>
    </w:pPr>
    <w:rPr>
      <w:rFonts w:ascii="Tahoma" w:hAnsi="Tahoma" w:eastAsia="Tahoma" w:cs="Tahoma"/>
      <w:b/>
      <w:bCs/>
      <w:sz w:val="22"/>
      <w:szCs w:val="22"/>
      <w:lang w:val="en-US" w:eastAsia="en-US" w:bidi="ar-SA"/>
    </w:rPr>
  </w:style>
  <w:style w:styleId="Title" w:type="paragraph">
    <w:name w:val="Title"/>
    <w:basedOn w:val="Normal"/>
    <w:uiPriority w:val="1"/>
    <w:qFormat/>
    <w:pPr>
      <w:spacing w:before="100"/>
      <w:ind w:left="2919" w:right="234" w:hanging="2672"/>
    </w:pPr>
    <w:rPr>
      <w:rFonts w:ascii="Tahoma" w:hAnsi="Tahoma" w:eastAsia="Tahoma" w:cs="Tahoma"/>
      <w:b/>
      <w:bCs/>
      <w:sz w:val="32"/>
      <w:szCs w:val="32"/>
      <w:lang w:val="en-US" w:eastAsia="en-US" w:bidi="ar-SA"/>
    </w:rPr>
  </w:style>
  <w:style w:styleId="ListParagraph" w:type="paragraph">
    <w:name w:val="List Paragraph"/>
    <w:basedOn w:val="Normal"/>
    <w:uiPriority w:val="1"/>
    <w:qFormat/>
    <w:pPr>
      <w:spacing w:line="266" w:lineRule="exact"/>
      <w:ind w:left="799" w:hanging="320"/>
    </w:pPr>
    <w:rPr>
      <w:rFonts w:ascii="Tahoma" w:hAnsi="Tahoma" w:eastAsia="Tahoma" w:cs="Tahoma"/>
      <w:lang w:val="en-US" w:eastAsia="en-US" w:bidi="ar-SA"/>
    </w:rPr>
  </w:style>
  <w:style w:styleId="TableParagraph" w:type="paragraph">
    <w:name w:val="Table Paragraph"/>
    <w:basedOn w:val="Normal"/>
    <w:uiPriority w:val="1"/>
    <w:qFormat/>
    <w:pPr>
      <w:spacing w:before="9" w:line="178" w:lineRule="exac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hyperlink" Target="mailto:clerk@ashpcsomers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Ferguson</dc:creator>
  <dcterms:created xsi:type="dcterms:W3CDTF">2023-04-27T14:25:05Z</dcterms:created>
  <dcterms:modified xsi:type="dcterms:W3CDTF">2023-04-27T14:25:05Z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Microsoft® Word for Microsoft 365</vt:lpwstr>
  </property>
  <property fmtid="{D5CDD505-2E9C-101B-9397-08002B2CF9AE}" pid="4" name="LastSaved">
    <vt:filetime>2023-04-27T00:00:00Z</vt:filetime>
  </property>
</Properties>
</file>